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312" w:afterLines="100"/>
        <w:jc w:val="left"/>
        <w:rPr>
          <w:b/>
          <w:bCs/>
        </w:rPr>
      </w:pPr>
      <w:r>
        <w:rPr>
          <w:rFonts w:hint="eastAsia"/>
          <w:b/>
          <w:bCs/>
        </w:rPr>
        <w:t>附表1：</w:t>
      </w:r>
      <w:bookmarkStart w:id="0" w:name="_GoBack"/>
      <w:r>
        <w:rPr>
          <w:rFonts w:hint="eastAsia"/>
          <w:b/>
          <w:bCs/>
        </w:rPr>
        <w:t xml:space="preserve"> 安徽省电力工程行业协会所属各会员单位专业技术人员情况表</w:t>
      </w:r>
      <w:bookmarkEnd w:id="0"/>
    </w:p>
    <w:tbl>
      <w:tblPr>
        <w:tblStyle w:val="3"/>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
        <w:gridCol w:w="674"/>
        <w:gridCol w:w="652"/>
        <w:gridCol w:w="603"/>
        <w:gridCol w:w="486"/>
        <w:gridCol w:w="486"/>
        <w:gridCol w:w="486"/>
        <w:gridCol w:w="486"/>
        <w:gridCol w:w="464"/>
        <w:gridCol w:w="464"/>
        <w:gridCol w:w="464"/>
        <w:gridCol w:w="464"/>
        <w:gridCol w:w="464"/>
        <w:gridCol w:w="464"/>
        <w:gridCol w:w="496"/>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6" w:hRule="atLeast"/>
        </w:trPr>
        <w:tc>
          <w:tcPr>
            <w:tcW w:w="444" w:type="dxa"/>
            <w:vAlign w:val="center"/>
          </w:tcPr>
          <w:p>
            <w:pPr>
              <w:adjustRightInd w:val="0"/>
              <w:snapToGrid w:val="0"/>
              <w:contextualSpacing/>
              <w:jc w:val="center"/>
              <w:rPr>
                <w:sz w:val="18"/>
                <w:szCs w:val="18"/>
              </w:rPr>
            </w:pPr>
            <w:r>
              <w:rPr>
                <w:rFonts w:hint="eastAsia"/>
                <w:sz w:val="18"/>
                <w:szCs w:val="18"/>
              </w:rPr>
              <w:t>序号</w:t>
            </w:r>
          </w:p>
        </w:tc>
        <w:tc>
          <w:tcPr>
            <w:tcW w:w="674" w:type="dxa"/>
            <w:vAlign w:val="center"/>
          </w:tcPr>
          <w:p>
            <w:pPr>
              <w:adjustRightInd w:val="0"/>
              <w:snapToGrid w:val="0"/>
              <w:contextualSpacing/>
              <w:jc w:val="center"/>
              <w:rPr>
                <w:sz w:val="18"/>
                <w:szCs w:val="18"/>
              </w:rPr>
            </w:pPr>
            <w:r>
              <w:rPr>
                <w:rFonts w:hint="eastAsia"/>
                <w:sz w:val="18"/>
                <w:szCs w:val="18"/>
              </w:rPr>
              <w:t>单位名称</w:t>
            </w:r>
          </w:p>
        </w:tc>
        <w:tc>
          <w:tcPr>
            <w:tcW w:w="652" w:type="dxa"/>
            <w:vAlign w:val="center"/>
          </w:tcPr>
          <w:p>
            <w:pPr>
              <w:adjustRightInd w:val="0"/>
              <w:snapToGrid w:val="0"/>
              <w:contextualSpacing/>
              <w:jc w:val="center"/>
              <w:rPr>
                <w:sz w:val="18"/>
                <w:szCs w:val="18"/>
              </w:rPr>
            </w:pPr>
            <w:r>
              <w:rPr>
                <w:rFonts w:hint="eastAsia"/>
                <w:sz w:val="18"/>
                <w:szCs w:val="18"/>
              </w:rPr>
              <w:t>所属城市</w:t>
            </w:r>
          </w:p>
        </w:tc>
        <w:tc>
          <w:tcPr>
            <w:tcW w:w="603" w:type="dxa"/>
            <w:vAlign w:val="center"/>
          </w:tcPr>
          <w:p>
            <w:pPr>
              <w:adjustRightInd w:val="0"/>
              <w:snapToGrid w:val="0"/>
              <w:contextualSpacing/>
              <w:jc w:val="center"/>
              <w:rPr>
                <w:sz w:val="15"/>
                <w:szCs w:val="15"/>
              </w:rPr>
            </w:pPr>
            <w:r>
              <w:rPr>
                <w:rFonts w:hint="eastAsia"/>
                <w:sz w:val="15"/>
                <w:szCs w:val="15"/>
              </w:rPr>
              <w:t>单位人员数量（代缴社保的）</w:t>
            </w:r>
          </w:p>
        </w:tc>
        <w:tc>
          <w:tcPr>
            <w:tcW w:w="486" w:type="dxa"/>
            <w:vAlign w:val="center"/>
          </w:tcPr>
          <w:p>
            <w:pPr>
              <w:adjustRightInd w:val="0"/>
              <w:snapToGrid w:val="0"/>
              <w:contextualSpacing/>
              <w:jc w:val="center"/>
              <w:rPr>
                <w:sz w:val="15"/>
                <w:szCs w:val="15"/>
              </w:rPr>
            </w:pPr>
            <w:r>
              <w:rPr>
                <w:rFonts w:hint="eastAsia"/>
                <w:sz w:val="15"/>
                <w:szCs w:val="15"/>
              </w:rPr>
              <w:t>高级职称人数</w:t>
            </w:r>
          </w:p>
        </w:tc>
        <w:tc>
          <w:tcPr>
            <w:tcW w:w="486" w:type="dxa"/>
            <w:vAlign w:val="center"/>
          </w:tcPr>
          <w:p>
            <w:pPr>
              <w:adjustRightInd w:val="0"/>
              <w:snapToGrid w:val="0"/>
              <w:contextualSpacing/>
              <w:jc w:val="center"/>
              <w:rPr>
                <w:sz w:val="15"/>
                <w:szCs w:val="15"/>
              </w:rPr>
            </w:pPr>
            <w:r>
              <w:rPr>
                <w:rFonts w:hint="eastAsia"/>
                <w:sz w:val="15"/>
                <w:szCs w:val="15"/>
              </w:rPr>
              <w:t>中级职称人数</w:t>
            </w:r>
          </w:p>
        </w:tc>
        <w:tc>
          <w:tcPr>
            <w:tcW w:w="486" w:type="dxa"/>
            <w:vAlign w:val="center"/>
          </w:tcPr>
          <w:p>
            <w:pPr>
              <w:adjustRightInd w:val="0"/>
              <w:snapToGrid w:val="0"/>
              <w:contextualSpacing/>
              <w:jc w:val="center"/>
              <w:rPr>
                <w:sz w:val="15"/>
                <w:szCs w:val="15"/>
              </w:rPr>
            </w:pPr>
            <w:r>
              <w:rPr>
                <w:rFonts w:hint="eastAsia"/>
                <w:sz w:val="15"/>
                <w:szCs w:val="15"/>
              </w:rPr>
              <w:t>初级职称人数</w:t>
            </w:r>
          </w:p>
        </w:tc>
        <w:tc>
          <w:tcPr>
            <w:tcW w:w="486" w:type="dxa"/>
            <w:vAlign w:val="center"/>
          </w:tcPr>
          <w:p>
            <w:pPr>
              <w:adjustRightInd w:val="0"/>
              <w:snapToGrid w:val="0"/>
              <w:contextualSpacing/>
              <w:jc w:val="center"/>
              <w:rPr>
                <w:sz w:val="15"/>
                <w:szCs w:val="15"/>
              </w:rPr>
            </w:pPr>
            <w:r>
              <w:rPr>
                <w:rFonts w:hint="eastAsia"/>
                <w:sz w:val="15"/>
                <w:szCs w:val="15"/>
              </w:rPr>
              <w:t>无职称的专业人数</w:t>
            </w:r>
          </w:p>
        </w:tc>
        <w:tc>
          <w:tcPr>
            <w:tcW w:w="464" w:type="dxa"/>
            <w:vAlign w:val="center"/>
          </w:tcPr>
          <w:p>
            <w:pPr>
              <w:adjustRightInd w:val="0"/>
              <w:snapToGrid w:val="0"/>
              <w:contextualSpacing/>
              <w:jc w:val="center"/>
              <w:rPr>
                <w:sz w:val="15"/>
                <w:szCs w:val="15"/>
              </w:rPr>
            </w:pPr>
            <w:r>
              <w:rPr>
                <w:rFonts w:hint="eastAsia"/>
                <w:sz w:val="15"/>
                <w:szCs w:val="15"/>
              </w:rPr>
              <w:t>高级技师人数</w:t>
            </w:r>
          </w:p>
        </w:tc>
        <w:tc>
          <w:tcPr>
            <w:tcW w:w="464" w:type="dxa"/>
            <w:vAlign w:val="center"/>
          </w:tcPr>
          <w:p>
            <w:pPr>
              <w:adjustRightInd w:val="0"/>
              <w:snapToGrid w:val="0"/>
              <w:contextualSpacing/>
              <w:jc w:val="center"/>
              <w:rPr>
                <w:sz w:val="15"/>
                <w:szCs w:val="15"/>
              </w:rPr>
            </w:pPr>
            <w:r>
              <w:rPr>
                <w:rFonts w:hint="eastAsia"/>
                <w:sz w:val="15"/>
                <w:szCs w:val="15"/>
              </w:rPr>
              <w:t>技师人数</w:t>
            </w:r>
          </w:p>
        </w:tc>
        <w:tc>
          <w:tcPr>
            <w:tcW w:w="464" w:type="dxa"/>
            <w:vAlign w:val="center"/>
          </w:tcPr>
          <w:p>
            <w:pPr>
              <w:adjustRightInd w:val="0"/>
              <w:snapToGrid w:val="0"/>
              <w:contextualSpacing/>
              <w:jc w:val="center"/>
              <w:rPr>
                <w:sz w:val="15"/>
                <w:szCs w:val="15"/>
              </w:rPr>
            </w:pPr>
            <w:r>
              <w:rPr>
                <w:rFonts w:hint="eastAsia"/>
                <w:sz w:val="15"/>
                <w:szCs w:val="15"/>
              </w:rPr>
              <w:t>高级工人数</w:t>
            </w:r>
          </w:p>
        </w:tc>
        <w:tc>
          <w:tcPr>
            <w:tcW w:w="464" w:type="dxa"/>
            <w:vAlign w:val="center"/>
          </w:tcPr>
          <w:p>
            <w:pPr>
              <w:adjustRightInd w:val="0"/>
              <w:snapToGrid w:val="0"/>
              <w:contextualSpacing/>
              <w:jc w:val="center"/>
              <w:rPr>
                <w:sz w:val="15"/>
                <w:szCs w:val="15"/>
              </w:rPr>
            </w:pPr>
            <w:r>
              <w:rPr>
                <w:rFonts w:hint="eastAsia"/>
                <w:sz w:val="15"/>
                <w:szCs w:val="15"/>
              </w:rPr>
              <w:t>中级工人数</w:t>
            </w:r>
          </w:p>
        </w:tc>
        <w:tc>
          <w:tcPr>
            <w:tcW w:w="464" w:type="dxa"/>
            <w:vAlign w:val="center"/>
          </w:tcPr>
          <w:p>
            <w:pPr>
              <w:adjustRightInd w:val="0"/>
              <w:snapToGrid w:val="0"/>
              <w:contextualSpacing/>
              <w:jc w:val="center"/>
              <w:rPr>
                <w:sz w:val="15"/>
                <w:szCs w:val="15"/>
              </w:rPr>
            </w:pPr>
            <w:r>
              <w:rPr>
                <w:rFonts w:hint="eastAsia"/>
                <w:sz w:val="15"/>
                <w:szCs w:val="15"/>
              </w:rPr>
              <w:t>初级工人数</w:t>
            </w:r>
          </w:p>
        </w:tc>
        <w:tc>
          <w:tcPr>
            <w:tcW w:w="464" w:type="dxa"/>
            <w:vAlign w:val="center"/>
          </w:tcPr>
          <w:p>
            <w:pPr>
              <w:adjustRightInd w:val="0"/>
              <w:snapToGrid w:val="0"/>
              <w:contextualSpacing/>
              <w:jc w:val="center"/>
              <w:rPr>
                <w:sz w:val="15"/>
                <w:szCs w:val="15"/>
              </w:rPr>
            </w:pPr>
            <w:r>
              <w:rPr>
                <w:rFonts w:hint="eastAsia"/>
                <w:sz w:val="15"/>
                <w:szCs w:val="15"/>
              </w:rPr>
              <w:t>无技能等级证人数</w:t>
            </w:r>
          </w:p>
        </w:tc>
        <w:tc>
          <w:tcPr>
            <w:tcW w:w="496" w:type="dxa"/>
            <w:vAlign w:val="center"/>
          </w:tcPr>
          <w:p>
            <w:pPr>
              <w:adjustRightInd w:val="0"/>
              <w:snapToGrid w:val="0"/>
              <w:contextualSpacing/>
              <w:jc w:val="center"/>
              <w:rPr>
                <w:sz w:val="15"/>
                <w:szCs w:val="15"/>
              </w:rPr>
            </w:pPr>
            <w:r>
              <w:rPr>
                <w:rFonts w:hint="eastAsia"/>
                <w:sz w:val="15"/>
                <w:szCs w:val="15"/>
              </w:rPr>
              <w:t>其中持双证的人数</w:t>
            </w:r>
          </w:p>
        </w:tc>
        <w:tc>
          <w:tcPr>
            <w:tcW w:w="1300" w:type="dxa"/>
            <w:vAlign w:val="center"/>
          </w:tcPr>
          <w:p>
            <w:pPr>
              <w:adjustRightInd w:val="0"/>
              <w:jc w:val="center"/>
              <w:rPr>
                <w:sz w:val="15"/>
                <w:szCs w:val="15"/>
              </w:rPr>
            </w:pPr>
            <w:r>
              <w:rPr>
                <w:rFonts w:hint="eastAsia"/>
                <w:sz w:val="15"/>
                <w:szCs w:val="1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1</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2</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3</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4</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5</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6</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7</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8</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rFonts w:hint="eastAsia"/>
                <w:sz w:val="18"/>
                <w:szCs w:val="18"/>
              </w:rPr>
            </w:pPr>
            <w:r>
              <w:rPr>
                <w:rFonts w:hint="eastAsia"/>
                <w:sz w:val="18"/>
                <w:szCs w:val="18"/>
              </w:rPr>
              <w:t>　</w:t>
            </w:r>
          </w:p>
          <w:p>
            <w:pPr>
              <w:adjustRightInd w:val="0"/>
              <w:jc w:val="left"/>
              <w:rPr>
                <w:sz w:val="18"/>
                <w:szCs w:val="18"/>
              </w:rPr>
            </w:pP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9</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10</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11</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12</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13</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14</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15</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44" w:type="dxa"/>
            <w:vAlign w:val="top"/>
          </w:tcPr>
          <w:p>
            <w:pPr>
              <w:adjustRightInd w:val="0"/>
              <w:jc w:val="left"/>
              <w:rPr>
                <w:sz w:val="18"/>
                <w:szCs w:val="18"/>
              </w:rPr>
            </w:pPr>
            <w:r>
              <w:rPr>
                <w:rFonts w:hint="eastAsia"/>
                <w:sz w:val="18"/>
                <w:szCs w:val="18"/>
              </w:rPr>
              <w:t>16</w:t>
            </w:r>
          </w:p>
        </w:tc>
        <w:tc>
          <w:tcPr>
            <w:tcW w:w="674" w:type="dxa"/>
            <w:vAlign w:val="top"/>
          </w:tcPr>
          <w:p>
            <w:pPr>
              <w:adjustRightInd w:val="0"/>
              <w:jc w:val="left"/>
              <w:rPr>
                <w:sz w:val="18"/>
                <w:szCs w:val="18"/>
              </w:rPr>
            </w:pPr>
            <w:r>
              <w:rPr>
                <w:rFonts w:hint="eastAsia"/>
                <w:sz w:val="18"/>
                <w:szCs w:val="18"/>
              </w:rPr>
              <w:t>　</w:t>
            </w:r>
          </w:p>
        </w:tc>
        <w:tc>
          <w:tcPr>
            <w:tcW w:w="652" w:type="dxa"/>
            <w:vAlign w:val="top"/>
          </w:tcPr>
          <w:p>
            <w:pPr>
              <w:adjustRightInd w:val="0"/>
              <w:jc w:val="left"/>
              <w:rPr>
                <w:sz w:val="18"/>
                <w:szCs w:val="18"/>
              </w:rPr>
            </w:pPr>
            <w:r>
              <w:rPr>
                <w:rFonts w:hint="eastAsia"/>
                <w:sz w:val="18"/>
                <w:szCs w:val="18"/>
              </w:rPr>
              <w:t>　</w:t>
            </w:r>
          </w:p>
        </w:tc>
        <w:tc>
          <w:tcPr>
            <w:tcW w:w="603"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86"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64" w:type="dxa"/>
            <w:vAlign w:val="top"/>
          </w:tcPr>
          <w:p>
            <w:pPr>
              <w:adjustRightInd w:val="0"/>
              <w:jc w:val="left"/>
              <w:rPr>
                <w:sz w:val="18"/>
                <w:szCs w:val="18"/>
              </w:rPr>
            </w:pPr>
            <w:r>
              <w:rPr>
                <w:rFonts w:hint="eastAsia"/>
                <w:sz w:val="18"/>
                <w:szCs w:val="18"/>
              </w:rPr>
              <w:t>　</w:t>
            </w:r>
          </w:p>
        </w:tc>
        <w:tc>
          <w:tcPr>
            <w:tcW w:w="496" w:type="dxa"/>
            <w:vAlign w:val="top"/>
          </w:tcPr>
          <w:p>
            <w:pPr>
              <w:adjustRightInd w:val="0"/>
              <w:jc w:val="left"/>
              <w:rPr>
                <w:sz w:val="18"/>
                <w:szCs w:val="18"/>
              </w:rPr>
            </w:pPr>
            <w:r>
              <w:rPr>
                <w:rFonts w:hint="eastAsia"/>
                <w:sz w:val="18"/>
                <w:szCs w:val="18"/>
              </w:rPr>
              <w:t>　</w:t>
            </w:r>
          </w:p>
        </w:tc>
        <w:tc>
          <w:tcPr>
            <w:tcW w:w="1300" w:type="dxa"/>
            <w:vAlign w:val="top"/>
          </w:tcPr>
          <w:p>
            <w:pPr>
              <w:adjustRightInd w:val="0"/>
              <w:jc w:val="left"/>
              <w:rPr>
                <w:sz w:val="18"/>
                <w:szCs w:val="18"/>
              </w:rPr>
            </w:pPr>
            <w:r>
              <w:rPr>
                <w:rFonts w:hint="eastAsia"/>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8" w:hRule="atLeast"/>
        </w:trPr>
        <w:tc>
          <w:tcPr>
            <w:tcW w:w="8897" w:type="dxa"/>
            <w:gridSpan w:val="16"/>
            <w:vAlign w:val="top"/>
          </w:tcPr>
          <w:p>
            <w:pPr>
              <w:adjustRightInd w:val="0"/>
              <w:jc w:val="left"/>
              <w:rPr>
                <w:sz w:val="18"/>
                <w:szCs w:val="18"/>
              </w:rPr>
            </w:pPr>
            <w:r>
              <w:rPr>
                <w:rFonts w:hint="eastAsia"/>
                <w:sz w:val="18"/>
                <w:szCs w:val="18"/>
              </w:rPr>
              <w:t>说明：</w:t>
            </w:r>
          </w:p>
          <w:p>
            <w:pPr>
              <w:adjustRightInd w:val="0"/>
              <w:jc w:val="left"/>
              <w:rPr>
                <w:sz w:val="18"/>
                <w:szCs w:val="18"/>
              </w:rPr>
            </w:pPr>
            <w:r>
              <w:rPr>
                <w:rFonts w:hint="eastAsia"/>
                <w:sz w:val="18"/>
                <w:szCs w:val="18"/>
              </w:rPr>
              <w:t>1、本表需要统计的“专业技术人员”范畴，指企业从事专业技术和专业管理的并在今后职业生涯中需要申报专业技术资格的人员。</w:t>
            </w:r>
            <w:r>
              <w:rPr>
                <w:rFonts w:hint="eastAsia"/>
                <w:sz w:val="18"/>
                <w:szCs w:val="18"/>
              </w:rPr>
              <w:br w:type="textWrapping"/>
            </w:r>
            <w:r>
              <w:rPr>
                <w:rFonts w:hint="eastAsia"/>
                <w:sz w:val="18"/>
                <w:szCs w:val="18"/>
              </w:rPr>
              <w:t xml:space="preserve">2、本表由单位统一汇总后，于8月31日前将电子表格发至协会职称办邮箱 </w:t>
            </w:r>
            <w:r>
              <w:fldChar w:fldCharType="begin"/>
            </w:r>
            <w:r>
              <w:instrText xml:space="preserve">HYPERLINK "mailto:ahdlhyxhzc@163.com"</w:instrText>
            </w:r>
            <w:r>
              <w:fldChar w:fldCharType="separate"/>
            </w:r>
            <w:r>
              <w:rPr>
                <w:rFonts w:hint="eastAsia"/>
              </w:rPr>
              <w:t>ahdlhyxhzc@163.com</w:t>
            </w:r>
            <w:r>
              <w:fldChar w:fldCharType="end"/>
            </w:r>
            <w:r>
              <w:rPr>
                <w:rFonts w:hint="eastAsia"/>
                <w:sz w:val="18"/>
                <w:szCs w:val="18"/>
              </w:rPr>
              <w:t>。</w:t>
            </w:r>
          </w:p>
          <w:p>
            <w:pPr>
              <w:adjustRightInd w:val="0"/>
              <w:jc w:val="left"/>
              <w:rPr>
                <w:sz w:val="18"/>
                <w:szCs w:val="18"/>
              </w:rPr>
            </w:pPr>
            <w:r>
              <w:rPr>
                <w:rFonts w:hint="eastAsia"/>
                <w:sz w:val="18"/>
                <w:szCs w:val="18"/>
              </w:rPr>
              <w:t>3、表中“双证”指同时持有中级及以上职称和技师双证的专业人员。</w:t>
            </w:r>
          </w:p>
          <w:p>
            <w:pPr>
              <w:adjustRightInd w:val="0"/>
              <w:jc w:val="left"/>
              <w:rPr>
                <w:sz w:val="18"/>
                <w:szCs w:val="18"/>
              </w:rPr>
            </w:pPr>
            <w:r>
              <w:rPr>
                <w:rFonts w:hint="eastAsia"/>
                <w:sz w:val="18"/>
                <w:szCs w:val="18"/>
              </w:rPr>
              <w:t>4、本表实际填报时可用从协会QQ群文件下载电子表格版本的进行填写汇总。</w:t>
            </w:r>
          </w:p>
          <w:p>
            <w:pPr>
              <w:adjustRightInd w:val="0"/>
              <w:jc w:val="left"/>
              <w:rPr>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C4238"/>
    <w:rsid w:val="2B1C423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2018-04-20T06:29:00Z</dcterms:created>
  <dc:creator>z倩</dc:creator>
  <cp:lastModifiedBy>z倩</cp:lastModifiedBy>
  <dcterms:modified xsi:type="dcterms:W3CDTF">2018-04-20T06:30:03Z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