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6377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184E5DC">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E7C4D0D">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29.240.20</w:t>
            </w:r>
            <w:r>
              <w:rPr>
                <w:rFonts w:ascii="黑体" w:hAnsi="黑体" w:eastAsia="黑体"/>
                <w:sz w:val="21"/>
                <w:szCs w:val="21"/>
              </w:rPr>
              <w:fldChar w:fldCharType="end"/>
            </w:r>
            <w:bookmarkEnd w:id="0"/>
          </w:p>
        </w:tc>
      </w:tr>
      <w:tr w14:paraId="39C04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AE62C6A">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924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4AE8C2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13624F9D">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AHDL</w:t>
                  </w:r>
                  <w:r>
                    <w:fldChar w:fldCharType="end"/>
                  </w:r>
                  <w:bookmarkEnd w:id="1"/>
                </w:p>
              </w:tc>
            </w:tr>
          </w:tbl>
          <w:p w14:paraId="43850B22">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F 21</w:t>
            </w:r>
            <w:r>
              <w:rPr>
                <w:rFonts w:ascii="黑体" w:hAnsi="黑体" w:eastAsia="黑体"/>
                <w:sz w:val="21"/>
                <w:szCs w:val="21"/>
              </w:rPr>
              <w:fldChar w:fldCharType="end"/>
            </w:r>
            <w:bookmarkEnd w:id="2"/>
          </w:p>
        </w:tc>
      </w:tr>
    </w:tbl>
    <w:p w14:paraId="3124CE58">
      <w:pPr>
        <w:pStyle w:val="51"/>
        <w:framePr w:w="9639" w:h="624" w:hRule="exact" w:hSpace="181" w:vSpace="181"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安徽省电力协会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6798F62C">
      <w:pPr>
        <w:pStyle w:val="196"/>
        <w:rPr>
          <w:rFonts w:hint="default" w:eastAsia="黑体"/>
          <w:lang w:val="en-US" w:eastAsia="zh-CN"/>
        </w:r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AHDL</w:t>
      </w:r>
      <w:r>
        <w:fldChar w:fldCharType="end"/>
      </w:r>
      <w:bookmarkEnd w:id="5"/>
      <w:r>
        <w:t xml:space="preserve"> </w:t>
      </w:r>
      <w:r>
        <w:rPr>
          <w:rFonts w:hint="eastAsia"/>
          <w:lang w:val="en-US" w:eastAsia="zh-CN"/>
        </w:rPr>
        <w:t>002</w:t>
      </w:r>
      <w:r>
        <w:rPr>
          <w:rFonts w:hAnsi="黑体"/>
        </w:rPr>
        <w:t>—</w:t>
      </w:r>
      <w:r>
        <w:rPr>
          <w:rFonts w:hint="eastAsia"/>
          <w:lang w:val="en-US" w:eastAsia="zh-CN"/>
        </w:rPr>
        <w:t>2024</w:t>
      </w:r>
    </w:p>
    <w:p w14:paraId="1F8C755D">
      <w:pPr>
        <w:pStyle w:val="197"/>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7B0D2868">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BEB5D3F">
      <w:pPr>
        <w:pStyle w:val="51"/>
        <w:framePr w:w="9639" w:h="6976" w:hRule="exact" w:hSpace="0" w:vSpace="0" w:hAnchor="page" w:y="6408"/>
        <w:jc w:val="center"/>
        <w:rPr>
          <w:rFonts w:ascii="黑体" w:hAnsi="黑体" w:eastAsia="黑体"/>
          <w:b w:val="0"/>
          <w:bCs w:val="0"/>
          <w:w w:val="100"/>
        </w:rPr>
      </w:pPr>
    </w:p>
    <w:p w14:paraId="202EFF34">
      <w:pPr>
        <w:pStyle w:val="198"/>
        <w:framePr w:h="6974" w:hRule="exact"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lang w:val="en-US" w:eastAsia="zh-CN"/>
        </w:rPr>
        <w:t>高标准基本农田中低压配</w:t>
      </w:r>
      <w:r>
        <w:rPr>
          <w:rFonts w:hint="eastAsia"/>
        </w:rPr>
        <w:t>电</w:t>
      </w:r>
      <w:r>
        <w:rPr>
          <w:rFonts w:hint="eastAsia"/>
          <w:lang w:val="en-US" w:eastAsia="zh-CN"/>
        </w:rPr>
        <w:t>网</w:t>
      </w:r>
      <w:r>
        <w:rPr>
          <w:rFonts w:hint="eastAsia"/>
        </w:rPr>
        <w:t>建设改造</w:t>
      </w:r>
    </w:p>
    <w:p w14:paraId="4168B956">
      <w:pPr>
        <w:pStyle w:val="198"/>
        <w:framePr w:h="6974" w:hRule="exact" w:x="1419" w:anchorLock="1"/>
      </w:pPr>
      <w:r>
        <w:rPr>
          <w:rFonts w:hint="eastAsia"/>
        </w:rPr>
        <w:t>技术导则</w:t>
      </w:r>
      <w:r>
        <w:fldChar w:fldCharType="end"/>
      </w:r>
      <w:bookmarkEnd w:id="7"/>
    </w:p>
    <w:p w14:paraId="5C2FC192">
      <w:pPr>
        <w:framePr w:w="9639" w:h="6974" w:hRule="exact" w:wrap="around" w:vAnchor="page" w:hAnchor="page" w:x="1419" w:y="6408" w:anchorLock="1"/>
        <w:ind w:left="-1418"/>
      </w:pPr>
    </w:p>
    <w:p w14:paraId="755D32B6">
      <w:pPr>
        <w:framePr w:w="9639" w:h="6974" w:hRule="exact" w:wrap="around" w:vAnchor="page" w:hAnchor="page" w:x="1419" w:y="6408" w:anchorLock="1"/>
        <w:spacing w:line="760" w:lineRule="exact"/>
        <w:ind w:left="-1418"/>
      </w:pPr>
    </w:p>
    <w:p w14:paraId="3992889C">
      <w:pPr>
        <w:pStyle w:val="126"/>
        <w:framePr w:w="9639" w:h="6974" w:hRule="exact" w:wrap="around" w:vAnchor="page" w:hAnchor="page" w:x="1419" w:y="6408" w:anchorLock="1"/>
        <w:textAlignment w:val="bottom"/>
        <w:rPr>
          <w:rFonts w:eastAsia="黑体"/>
          <w:szCs w:val="28"/>
        </w:rPr>
      </w:pPr>
    </w:p>
    <w:p w14:paraId="17B919B6">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8"/>
    </w:p>
    <w:p w14:paraId="40AABB2C">
      <w:pPr>
        <w:pStyle w:val="194"/>
        <w:framePr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p>
    <w:p w14:paraId="1784461F">
      <w:pPr>
        <w:pStyle w:val="195"/>
        <w:framePr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实施</w:t>
      </w:r>
    </w:p>
    <w:p w14:paraId="36BA301A">
      <w:pPr>
        <w:pStyle w:val="152"/>
        <w:framePr w:h="584" w:hRule="exact" w:hSpace="181" w:vSpace="181" w:y="14800"/>
        <w:rPr>
          <w:rFonts w:hAnsi="黑体"/>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fldChar w:fldCharType="separate"/>
      </w:r>
      <w:r>
        <w:rPr>
          <w:rFonts w:hint="eastAsia" w:hAnsi="黑体"/>
          <w:w w:val="100"/>
          <w:sz w:val="28"/>
        </w:rPr>
        <w:t>安徽省电力协会</w:t>
      </w:r>
      <w:r>
        <w:rPr>
          <w:rFonts w:hAnsi="黑体"/>
          <w:w w:val="100"/>
          <w:sz w:val="28"/>
        </w:rPr>
        <w:fldChar w:fldCharType="end"/>
      </w:r>
      <w:bookmarkEnd w:id="15"/>
      <w:r>
        <w:rPr>
          <w:rFonts w:ascii="Times New Roman"/>
          <w:w w:val="100"/>
          <w:sz w:val="28"/>
        </w:rPr>
        <w:t> </w:t>
      </w:r>
      <w:bookmarkStart w:id="40" w:name="_GoBack"/>
      <w:bookmarkEnd w:id="4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26715907">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EB39A1D">
      <w:pPr>
        <w:pStyle w:val="90"/>
        <w:spacing w:after="360"/>
      </w:pPr>
      <w:bookmarkStart w:id="16" w:name="BookMark2"/>
      <w:r>
        <w:rPr>
          <w:spacing w:val="320"/>
        </w:rPr>
        <w:t>前</w:t>
      </w:r>
      <w:r>
        <w:t>言</w:t>
      </w:r>
    </w:p>
    <w:p w14:paraId="3099050A">
      <w:pPr>
        <w:pStyle w:val="57"/>
        <w:ind w:firstLine="420"/>
      </w:pPr>
      <w:r>
        <w:rPr>
          <w:rFonts w:hint="eastAsia"/>
        </w:rPr>
        <w:t>本文件按照GB/T 1.1—2020《标准化工作导则  第1部分：标准化文件的结构和起草规则》的规定起草。</w:t>
      </w:r>
    </w:p>
    <w:p w14:paraId="44288FCD">
      <w:pPr>
        <w:pStyle w:val="57"/>
        <w:ind w:firstLine="420"/>
      </w:pPr>
      <w:r>
        <w:rPr>
          <w:rFonts w:hint="eastAsia"/>
        </w:rPr>
        <w:t>请注意本文件的某些内容可能涉及专利。本文件的的发布机构不承担识别专利的责任。</w:t>
      </w:r>
    </w:p>
    <w:p w14:paraId="5930BC84">
      <w:pPr>
        <w:pStyle w:val="57"/>
        <w:ind w:firstLine="420"/>
      </w:pPr>
      <w:r>
        <w:rPr>
          <w:rFonts w:hint="eastAsia"/>
        </w:rPr>
        <w:t>本文件由国网安徽省电力有限公司</w:t>
      </w:r>
      <w:r>
        <w:rPr>
          <w:rFonts w:hint="eastAsia"/>
          <w:lang w:val="en-US" w:eastAsia="zh-CN"/>
        </w:rPr>
        <w:t>滁州</w:t>
      </w:r>
      <w:r>
        <w:rPr>
          <w:rFonts w:hint="eastAsia"/>
        </w:rPr>
        <w:t>供电公司提出。</w:t>
      </w:r>
    </w:p>
    <w:p w14:paraId="4119C4F2">
      <w:pPr>
        <w:pStyle w:val="57"/>
        <w:ind w:firstLine="420"/>
      </w:pPr>
      <w:r>
        <w:rPr>
          <w:rFonts w:hint="eastAsia"/>
        </w:rPr>
        <w:t>本文件由安徽省电力协会归口。</w:t>
      </w:r>
    </w:p>
    <w:p w14:paraId="2200A539">
      <w:pPr>
        <w:pStyle w:val="57"/>
        <w:ind w:firstLine="420"/>
      </w:pPr>
      <w:r>
        <w:rPr>
          <w:rFonts w:hint="eastAsia"/>
        </w:rPr>
        <w:t>本文件起草单位：国网安徽省电力有限公司</w:t>
      </w:r>
      <w:r>
        <w:rPr>
          <w:rFonts w:hint="eastAsia"/>
          <w:lang w:val="en-US" w:eastAsia="zh-CN"/>
        </w:rPr>
        <w:t>滁州</w:t>
      </w:r>
      <w:r>
        <w:rPr>
          <w:rFonts w:hint="eastAsia"/>
        </w:rPr>
        <w:t>供电公司、国网安徽省电力有限公司、安徽省电力协会、国网安徽省电力有限公司</w:t>
      </w:r>
      <w:r>
        <w:rPr>
          <w:rFonts w:hint="eastAsia"/>
          <w:lang w:val="en-US" w:eastAsia="zh-CN"/>
        </w:rPr>
        <w:t>庐江</w:t>
      </w:r>
      <w:r>
        <w:rPr>
          <w:rFonts w:hint="eastAsia"/>
        </w:rPr>
        <w:t>县供电公司</w:t>
      </w:r>
      <w:r>
        <w:rPr>
          <w:rFonts w:hint="eastAsia"/>
          <w:lang w:eastAsia="zh-CN"/>
        </w:rPr>
        <w:t>、</w:t>
      </w:r>
      <w:r>
        <w:rPr>
          <w:rFonts w:hint="eastAsia"/>
        </w:rPr>
        <w:t>国网安徽省电力有限公司</w:t>
      </w:r>
      <w:r>
        <w:rPr>
          <w:rFonts w:hint="eastAsia"/>
          <w:lang w:val="en-US" w:eastAsia="zh-CN"/>
        </w:rPr>
        <w:t>定远</w:t>
      </w:r>
      <w:r>
        <w:rPr>
          <w:rFonts w:hint="eastAsia"/>
        </w:rPr>
        <w:t>县供电公司</w:t>
      </w:r>
      <w:r>
        <w:rPr>
          <w:rFonts w:hint="eastAsia"/>
          <w:lang w:eastAsia="zh-CN"/>
        </w:rPr>
        <w:t>、</w:t>
      </w:r>
      <w:r>
        <w:rPr>
          <w:rFonts w:hint="eastAsia" w:ascii="宋体" w:hAnsi="Times New Roman" w:eastAsia="宋体" w:cs="Times New Roman"/>
          <w:spacing w:val="0"/>
          <w:w w:val="100"/>
          <w:kern w:val="0"/>
          <w:position w:val="0"/>
          <w:sz w:val="21"/>
          <w:szCs w:val="20"/>
          <w:lang w:val="en-US" w:eastAsia="zh-CN" w:bidi="ar-SA"/>
        </w:rPr>
        <w:t>国网安徽省电力有限公司经济技术研究院、国网安徽省电力有限公司黄山供电公司、国网安徽省电力有限公司宣城供电公司、国网安徽省电力有限公司旌德县供电公司、安徽省电力协会。</w:t>
      </w:r>
    </w:p>
    <w:p w14:paraId="0CB6E773">
      <w:pPr>
        <w:pStyle w:val="57"/>
        <w:ind w:firstLine="420"/>
      </w:pPr>
      <w:r>
        <w:rPr>
          <w:rFonts w:hint="eastAsia"/>
        </w:rPr>
        <w:t>本文件主要起草人：</w:t>
      </w:r>
      <w:r>
        <w:rPr>
          <w:rFonts w:hint="eastAsia"/>
          <w:lang w:val="en-US" w:eastAsia="zh-CN"/>
        </w:rPr>
        <w:t>***陈润生</w:t>
      </w:r>
      <w:r>
        <w:rPr>
          <w:rFonts w:hint="eastAsia"/>
          <w:lang w:eastAsia="zh-CN"/>
        </w:rPr>
        <w:t>、</w:t>
      </w:r>
      <w:r>
        <w:rPr>
          <w:rFonts w:hint="eastAsia"/>
          <w:lang w:val="en-US" w:eastAsia="zh-CN"/>
        </w:rPr>
        <w:t>卜春梅、</w:t>
      </w:r>
      <w:r>
        <w:rPr>
          <w:rFonts w:hint="eastAsia"/>
          <w:color w:val="auto"/>
          <w:lang w:val="en-US" w:eastAsia="zh-CN"/>
        </w:rPr>
        <w:t>廖红、王伟、周洋、王喜君、郝百川、*****</w:t>
      </w:r>
      <w:r>
        <w:rPr>
          <w:rFonts w:hint="eastAsia"/>
        </w:rPr>
        <w:t>。</w:t>
      </w:r>
    </w:p>
    <w:p w14:paraId="4486029F">
      <w:pPr>
        <w:pStyle w:val="57"/>
        <w:ind w:firstLine="420"/>
      </w:pPr>
    </w:p>
    <w:p w14:paraId="3E108BBE">
      <w:pPr>
        <w:pStyle w:val="57"/>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16"/>
    <w:p w14:paraId="28E77054">
      <w:pPr>
        <w:spacing w:line="20" w:lineRule="exact"/>
        <w:jc w:val="center"/>
        <w:rPr>
          <w:rFonts w:ascii="黑体" w:hAnsi="黑体" w:eastAsia="黑体"/>
          <w:sz w:val="32"/>
          <w:szCs w:val="32"/>
        </w:rPr>
      </w:pPr>
      <w:bookmarkStart w:id="17" w:name="BookMark4"/>
    </w:p>
    <w:p w14:paraId="226202A4">
      <w:pPr>
        <w:spacing w:line="20" w:lineRule="exact"/>
        <w:jc w:val="center"/>
        <w:rPr>
          <w:rFonts w:ascii="黑体" w:hAnsi="黑体" w:eastAsia="黑体"/>
          <w:sz w:val="32"/>
          <w:szCs w:val="32"/>
        </w:rPr>
      </w:pPr>
    </w:p>
    <w:sdt>
      <w:sdtPr>
        <w:tag w:val="NEW_STAND_NAME"/>
        <w:id w:val="595910757"/>
        <w:lock w:val="sdtLocked"/>
        <w:placeholder>
          <w:docPart w:val="8CCBF461B8524E0C8E8FFD034A3EA620"/>
        </w:placeholder>
      </w:sdtPr>
      <w:sdtContent>
        <w:p w14:paraId="3965A729">
          <w:pPr>
            <w:pStyle w:val="178"/>
            <w:spacing w:before="240" w:beforeLines="100" w:after="528" w:afterLines="220"/>
          </w:pPr>
          <w:bookmarkStart w:id="18" w:name="NEW_STAND_NAME"/>
          <w:r>
            <w:rPr>
              <w:rFonts w:hint="eastAsia"/>
            </w:rPr>
            <w:t>高标准</w:t>
          </w:r>
          <w:r>
            <w:rPr>
              <w:rFonts w:hint="eastAsia"/>
              <w:lang w:val="en-US" w:eastAsia="zh-CN"/>
            </w:rPr>
            <w:t>基本</w:t>
          </w:r>
          <w:r>
            <w:rPr>
              <w:rFonts w:hint="eastAsia"/>
            </w:rPr>
            <w:t>农田</w:t>
          </w:r>
          <w:r>
            <w:rPr>
              <w:rFonts w:hint="eastAsia"/>
              <w:lang w:val="en-US" w:eastAsia="zh-CN"/>
            </w:rPr>
            <w:t>中低压配</w:t>
          </w:r>
          <w:r>
            <w:rPr>
              <w:rFonts w:hint="eastAsia"/>
            </w:rPr>
            <w:t>电</w:t>
          </w:r>
          <w:r>
            <w:rPr>
              <w:rFonts w:hint="eastAsia"/>
              <w:lang w:val="en-US" w:eastAsia="zh-CN"/>
            </w:rPr>
            <w:t>网</w:t>
          </w:r>
          <w:r>
            <w:rPr>
              <w:rFonts w:hint="eastAsia"/>
            </w:rPr>
            <w:t>建设改造技术导则</w:t>
          </w:r>
        </w:p>
      </w:sdtContent>
    </w:sdt>
    <w:bookmarkEnd w:id="18"/>
    <w:p w14:paraId="777EBFB9">
      <w:pPr>
        <w:pStyle w:val="105"/>
        <w:spacing w:before="240" w:after="240"/>
      </w:pPr>
      <w:bookmarkStart w:id="19" w:name="_Toc17233325"/>
      <w:bookmarkStart w:id="20" w:name="_Toc24884211"/>
      <w:bookmarkStart w:id="21" w:name="_Toc24884218"/>
      <w:bookmarkStart w:id="22" w:name="_Toc26718930"/>
      <w:bookmarkStart w:id="23" w:name="_Toc97192964"/>
      <w:bookmarkStart w:id="24" w:name="_Toc17233333"/>
      <w:bookmarkStart w:id="25" w:name="_Toc26648465"/>
      <w:bookmarkStart w:id="26" w:name="_Toc26986771"/>
      <w:bookmarkStart w:id="27" w:name="_Toc26986530"/>
      <w:r>
        <w:rPr>
          <w:rFonts w:hint="eastAsia"/>
        </w:rPr>
        <w:t>范围</w:t>
      </w:r>
      <w:bookmarkEnd w:id="19"/>
      <w:bookmarkEnd w:id="20"/>
      <w:bookmarkEnd w:id="21"/>
      <w:bookmarkEnd w:id="22"/>
      <w:bookmarkEnd w:id="23"/>
      <w:bookmarkEnd w:id="24"/>
      <w:bookmarkEnd w:id="25"/>
      <w:bookmarkEnd w:id="26"/>
      <w:bookmarkEnd w:id="27"/>
    </w:p>
    <w:p w14:paraId="5B6CCE26">
      <w:pPr>
        <w:pStyle w:val="57"/>
        <w:ind w:firstLine="420"/>
      </w:pPr>
      <w:bookmarkStart w:id="28" w:name="_Toc17233326"/>
      <w:bookmarkStart w:id="29" w:name="_Toc24884219"/>
      <w:bookmarkStart w:id="30" w:name="_Toc17233334"/>
      <w:bookmarkStart w:id="31" w:name="_Toc26648466"/>
      <w:bookmarkStart w:id="32" w:name="_Toc24884212"/>
      <w:r>
        <w:rPr>
          <w:rFonts w:hint="eastAsia"/>
        </w:rPr>
        <w:t>本文件确立了高标准</w:t>
      </w:r>
      <w:r>
        <w:rPr>
          <w:rFonts w:hint="eastAsia"/>
          <w:lang w:val="en-US" w:eastAsia="zh-CN"/>
        </w:rPr>
        <w:t>基本</w:t>
      </w:r>
      <w:r>
        <w:rPr>
          <w:rFonts w:hint="eastAsia"/>
        </w:rPr>
        <w:t>农田</w:t>
      </w:r>
      <w:r>
        <w:rPr>
          <w:rFonts w:hint="eastAsia"/>
          <w:lang w:val="en-US" w:eastAsia="zh-CN"/>
        </w:rPr>
        <w:t>中低压配</w:t>
      </w:r>
      <w:r>
        <w:rPr>
          <w:rFonts w:hint="eastAsia"/>
        </w:rPr>
        <w:t>电</w:t>
      </w:r>
      <w:r>
        <w:rPr>
          <w:rFonts w:hint="eastAsia"/>
          <w:lang w:val="en-US" w:eastAsia="zh-CN"/>
        </w:rPr>
        <w:t>网</w:t>
      </w:r>
      <w:r>
        <w:rPr>
          <w:rFonts w:hint="eastAsia"/>
        </w:rPr>
        <w:t>建设改造的基本要求，并规定了</w:t>
      </w:r>
      <w:r>
        <w:rPr>
          <w:rFonts w:hint="eastAsia"/>
          <w:lang w:val="en-US" w:eastAsia="zh-CN"/>
        </w:rPr>
        <w:t>高标准基本农田</w:t>
      </w:r>
      <w:r>
        <w:rPr>
          <w:rFonts w:hint="eastAsia"/>
        </w:rPr>
        <w:t>电网的</w:t>
      </w:r>
      <w:r>
        <w:rPr>
          <w:rFonts w:hint="eastAsia"/>
          <w:color w:val="0000FF"/>
        </w:rPr>
        <w:t>中压配电网、低压配电网、低压户表和通信及自动化</w:t>
      </w:r>
      <w:r>
        <w:rPr>
          <w:rFonts w:hint="eastAsia"/>
        </w:rPr>
        <w:t>建设改造的技术要求。</w:t>
      </w:r>
    </w:p>
    <w:p w14:paraId="686E3154">
      <w:pPr>
        <w:pStyle w:val="57"/>
        <w:ind w:firstLine="420"/>
      </w:pPr>
      <w:r>
        <w:rPr>
          <w:rFonts w:hint="eastAsia"/>
        </w:rPr>
        <w:t>本文件适用于</w:t>
      </w:r>
      <w:r>
        <w:rPr>
          <w:rFonts w:hint="eastAsia"/>
          <w:lang w:val="en-US" w:eastAsia="zh-CN"/>
        </w:rPr>
        <w:t>高标准基本农田中低压配</w:t>
      </w:r>
      <w:r>
        <w:rPr>
          <w:rFonts w:hint="eastAsia"/>
        </w:rPr>
        <w:t>电网建设改造。</w:t>
      </w:r>
    </w:p>
    <w:p w14:paraId="1864029B">
      <w:pPr>
        <w:pStyle w:val="105"/>
        <w:spacing w:before="240" w:after="240"/>
      </w:pPr>
      <w:bookmarkStart w:id="33" w:name="_Toc97192965"/>
      <w:bookmarkStart w:id="34" w:name="_Toc26718931"/>
      <w:bookmarkStart w:id="35" w:name="_Toc26986531"/>
      <w:bookmarkStart w:id="36" w:name="_Toc26986772"/>
      <w:r>
        <w:rPr>
          <w:rFonts w:hint="eastAsia"/>
        </w:rPr>
        <w:t>规范性引用文件</w:t>
      </w:r>
      <w:bookmarkEnd w:id="28"/>
      <w:bookmarkEnd w:id="29"/>
      <w:bookmarkEnd w:id="30"/>
      <w:bookmarkEnd w:id="31"/>
      <w:bookmarkEnd w:id="32"/>
      <w:bookmarkEnd w:id="33"/>
      <w:bookmarkEnd w:id="34"/>
      <w:bookmarkEnd w:id="35"/>
      <w:bookmarkEnd w:id="36"/>
    </w:p>
    <w:sdt>
      <w:sdtPr>
        <w:rPr>
          <w:rFonts w:hint="eastAsia"/>
        </w:rPr>
        <w:id w:val="715848253"/>
        <w:placeholder>
          <w:docPart w:val="1AE70135FD834ABC837D5BB1B249C90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AC6F4B3">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570B043">
      <w:pPr>
        <w:pStyle w:val="57"/>
        <w:ind w:firstLine="420"/>
        <w:rPr>
          <w:rFonts w:hint="eastAsia"/>
          <w:color w:val="0000FF"/>
        </w:rPr>
      </w:pPr>
      <w:r>
        <w:rPr>
          <w:rFonts w:hint="eastAsia"/>
          <w:color w:val="0000FF"/>
        </w:rPr>
        <w:t>GB11032</w:t>
      </w:r>
      <w:r>
        <w:rPr>
          <w:rFonts w:hint="eastAsia"/>
          <w:color w:val="0000FF"/>
          <w:lang w:val="en-US" w:eastAsia="zh-CN"/>
        </w:rPr>
        <w:t xml:space="preserve">  </w:t>
      </w:r>
      <w:r>
        <w:rPr>
          <w:rFonts w:hint="eastAsia"/>
          <w:color w:val="0000FF"/>
        </w:rPr>
        <w:t>交流无间隙金属氧化物避雷器</w:t>
      </w:r>
    </w:p>
    <w:p w14:paraId="7854A956">
      <w:pPr>
        <w:pStyle w:val="57"/>
        <w:ind w:firstLine="420"/>
        <w:rPr>
          <w:rFonts w:hint="eastAsia"/>
          <w:color w:val="0000FF"/>
        </w:rPr>
      </w:pPr>
      <w:r>
        <w:rPr>
          <w:rFonts w:hint="eastAsia"/>
          <w:color w:val="0000FF"/>
        </w:rPr>
        <w:t xml:space="preserve">GB 20052 </w:t>
      </w:r>
      <w:r>
        <w:rPr>
          <w:rFonts w:hint="eastAsia"/>
          <w:color w:val="0000FF"/>
          <w:lang w:val="en-US" w:eastAsia="zh-CN"/>
        </w:rPr>
        <w:t xml:space="preserve"> </w:t>
      </w:r>
      <w:r>
        <w:rPr>
          <w:rFonts w:hint="eastAsia"/>
          <w:color w:val="0000FF"/>
        </w:rPr>
        <w:t>电力变压器能效限定值及能效等级</w:t>
      </w:r>
    </w:p>
    <w:p w14:paraId="524D50C3">
      <w:pPr>
        <w:pStyle w:val="57"/>
        <w:ind w:firstLine="420"/>
        <w:rPr>
          <w:color w:val="0000FF"/>
        </w:rPr>
      </w:pPr>
      <w:r>
        <w:rPr>
          <w:rFonts w:hint="eastAsia"/>
          <w:color w:val="0000FF"/>
        </w:rPr>
        <w:t>GB 50150  电气装置安装工程 电气设备交接试验标准</w:t>
      </w:r>
    </w:p>
    <w:p w14:paraId="13E45461">
      <w:pPr>
        <w:pStyle w:val="57"/>
        <w:ind w:firstLine="420"/>
        <w:rPr>
          <w:color w:val="0000FF"/>
        </w:rPr>
      </w:pPr>
      <w:r>
        <w:rPr>
          <w:rFonts w:hint="eastAsia"/>
          <w:color w:val="0000FF"/>
        </w:rPr>
        <w:t>GB 50173  电气装置安装工程66kV及以下架空电力线路施工及验收规范</w:t>
      </w:r>
    </w:p>
    <w:p w14:paraId="2FC61F97">
      <w:pPr>
        <w:pStyle w:val="57"/>
        <w:ind w:firstLine="420"/>
        <w:rPr>
          <w:rFonts w:hint="eastAsia" w:ascii="宋体" w:hAnsi="Times New Roman" w:eastAsia="宋体" w:cs="Times New Roman"/>
          <w:color w:val="0000FF"/>
          <w:spacing w:val="0"/>
          <w:w w:val="100"/>
          <w:position w:val="0"/>
          <w:sz w:val="21"/>
          <w:szCs w:val="20"/>
          <w:lang w:val="en-US" w:eastAsia="zh-CN"/>
        </w:rPr>
      </w:pPr>
      <w:r>
        <w:rPr>
          <w:rFonts w:hint="eastAsia"/>
          <w:color w:val="0000FF"/>
        </w:rPr>
        <w:t>GB 50303  建筑电气工程施工质量验收规范</w:t>
      </w:r>
    </w:p>
    <w:p w14:paraId="5F316FBC">
      <w:pPr>
        <w:pStyle w:val="57"/>
        <w:ind w:firstLine="420"/>
        <w:rPr>
          <w:rFonts w:hint="eastAsia"/>
          <w:color w:val="0000FF"/>
        </w:rPr>
      </w:pPr>
      <w:r>
        <w:rPr>
          <w:rFonts w:hint="eastAsia"/>
          <w:color w:val="0000FF"/>
        </w:rPr>
        <w:t>GB 51348</w:t>
      </w:r>
      <w:r>
        <w:rPr>
          <w:rFonts w:hint="eastAsia"/>
          <w:color w:val="0000FF"/>
          <w:lang w:val="en-US" w:eastAsia="zh-CN"/>
        </w:rPr>
        <w:t xml:space="preserve">  </w:t>
      </w:r>
      <w:r>
        <w:rPr>
          <w:rFonts w:hint="eastAsia"/>
          <w:color w:val="0000FF"/>
        </w:rPr>
        <w:t>民用建筑电气设计标准</w:t>
      </w:r>
    </w:p>
    <w:p w14:paraId="13C60301">
      <w:pPr>
        <w:pStyle w:val="57"/>
        <w:ind w:firstLine="420"/>
        <w:rPr>
          <w:rFonts w:hint="eastAsia"/>
          <w:color w:val="0000FF"/>
        </w:rPr>
      </w:pPr>
      <w:r>
        <w:rPr>
          <w:rFonts w:hint="eastAsia"/>
          <w:color w:val="0000FF"/>
        </w:rPr>
        <w:t>GB/T 12325</w:t>
      </w:r>
      <w:r>
        <w:rPr>
          <w:rFonts w:hint="eastAsia"/>
          <w:color w:val="0000FF"/>
          <w:lang w:val="en-US" w:eastAsia="zh-CN"/>
        </w:rPr>
        <w:t xml:space="preserve">  </w:t>
      </w:r>
      <w:r>
        <w:rPr>
          <w:rFonts w:hint="eastAsia"/>
          <w:color w:val="0000FF"/>
        </w:rPr>
        <w:t>电能质量供电电压偏差</w:t>
      </w:r>
    </w:p>
    <w:p w14:paraId="69EE7D9D">
      <w:pPr>
        <w:pStyle w:val="57"/>
        <w:ind w:firstLine="420"/>
        <w:rPr>
          <w:rFonts w:hint="eastAsia" w:ascii="宋体" w:hAnsi="Times New Roman" w:eastAsia="宋体" w:cs="Times New Roman"/>
          <w:color w:val="0000FF"/>
          <w:spacing w:val="0"/>
          <w:w w:val="100"/>
          <w:position w:val="0"/>
          <w:sz w:val="21"/>
          <w:szCs w:val="20"/>
          <w:lang w:val="en-US" w:eastAsia="zh-CN"/>
        </w:rPr>
      </w:pPr>
      <w:r>
        <w:rPr>
          <w:rFonts w:hint="eastAsia"/>
          <w:color w:val="0000FF"/>
        </w:rPr>
        <w:t xml:space="preserve">GB/T 13955 </w:t>
      </w:r>
      <w:r>
        <w:rPr>
          <w:rFonts w:hint="eastAsia"/>
          <w:color w:val="0000FF"/>
          <w:lang w:val="en-US" w:eastAsia="zh-CN"/>
        </w:rPr>
        <w:t xml:space="preserve"> </w:t>
      </w:r>
      <w:r>
        <w:rPr>
          <w:rFonts w:hint="eastAsia"/>
          <w:color w:val="0000FF"/>
        </w:rPr>
        <w:t>剩余电流动作保护装置安装和运行</w:t>
      </w:r>
    </w:p>
    <w:p w14:paraId="723500DA">
      <w:pPr>
        <w:pStyle w:val="57"/>
        <w:ind w:firstLine="420"/>
        <w:rPr>
          <w:rFonts w:hint="eastAsia"/>
          <w:color w:val="0000FF"/>
        </w:rPr>
      </w:pPr>
      <w:r>
        <w:rPr>
          <w:rFonts w:hint="eastAsia"/>
          <w:color w:val="0000FF"/>
        </w:rPr>
        <w:t>GB/T 14549</w:t>
      </w:r>
      <w:r>
        <w:rPr>
          <w:rFonts w:hint="eastAsia"/>
          <w:color w:val="0000FF"/>
          <w:lang w:val="en-US" w:eastAsia="zh-CN"/>
        </w:rPr>
        <w:t xml:space="preserve">  </w:t>
      </w:r>
      <w:r>
        <w:rPr>
          <w:rFonts w:hint="eastAsia"/>
          <w:color w:val="0000FF"/>
        </w:rPr>
        <w:t>电能质量 公用电网谐波</w:t>
      </w:r>
    </w:p>
    <w:p w14:paraId="2082A564">
      <w:pPr>
        <w:pStyle w:val="57"/>
        <w:ind w:firstLine="420"/>
        <w:rPr>
          <w:rFonts w:hint="eastAsia"/>
          <w:color w:val="0000FF"/>
        </w:rPr>
      </w:pPr>
      <w:r>
        <w:rPr>
          <w:rFonts w:hint="eastAsia"/>
          <w:color w:val="0000FF"/>
        </w:rPr>
        <w:t>GB/T 15543</w:t>
      </w:r>
      <w:r>
        <w:rPr>
          <w:rFonts w:hint="eastAsia"/>
          <w:color w:val="0000FF"/>
          <w:lang w:val="en-US" w:eastAsia="zh-CN"/>
        </w:rPr>
        <w:t xml:space="preserve">  </w:t>
      </w:r>
      <w:r>
        <w:rPr>
          <w:rFonts w:hint="eastAsia"/>
          <w:color w:val="0000FF"/>
        </w:rPr>
        <w:t>电能质量三相电压不平衡</w:t>
      </w:r>
    </w:p>
    <w:p w14:paraId="1D2BF812">
      <w:pPr>
        <w:pStyle w:val="57"/>
        <w:ind w:firstLine="420"/>
        <w:rPr>
          <w:rFonts w:hint="eastAsia"/>
          <w:color w:val="0000FF"/>
        </w:rPr>
      </w:pPr>
      <w:r>
        <w:rPr>
          <w:rFonts w:hint="eastAsia"/>
          <w:color w:val="0000FF"/>
        </w:rPr>
        <w:t>GB/T 24337</w:t>
      </w:r>
      <w:r>
        <w:rPr>
          <w:rFonts w:hint="eastAsia"/>
          <w:color w:val="0000FF"/>
          <w:lang w:val="en-US" w:eastAsia="zh-CN"/>
        </w:rPr>
        <w:t xml:space="preserve">  </w:t>
      </w:r>
      <w:r>
        <w:rPr>
          <w:rFonts w:hint="eastAsia"/>
          <w:color w:val="0000FF"/>
        </w:rPr>
        <w:t>电能质量 公用电网间谐波</w:t>
      </w:r>
    </w:p>
    <w:p w14:paraId="0D47543F">
      <w:pPr>
        <w:pStyle w:val="57"/>
        <w:ind w:firstLine="420"/>
        <w:rPr>
          <w:rFonts w:hint="eastAsia"/>
          <w:color w:val="0000FF"/>
        </w:rPr>
      </w:pPr>
      <w:r>
        <w:rPr>
          <w:rFonts w:hint="eastAsia"/>
          <w:color w:val="0000FF"/>
        </w:rPr>
        <w:t>GB/T 29328</w:t>
      </w:r>
      <w:r>
        <w:rPr>
          <w:rFonts w:hint="eastAsia"/>
          <w:color w:val="0000FF"/>
          <w:lang w:val="en-US" w:eastAsia="zh-CN"/>
        </w:rPr>
        <w:t xml:space="preserve">  </w:t>
      </w:r>
      <w:r>
        <w:rPr>
          <w:rFonts w:hint="eastAsia"/>
          <w:color w:val="0000FF"/>
        </w:rPr>
        <w:t>重要电力用户供电电源及自备应急电源配置技术规范</w:t>
      </w:r>
    </w:p>
    <w:p w14:paraId="54F37623">
      <w:pPr>
        <w:pStyle w:val="57"/>
        <w:ind w:firstLine="420"/>
        <w:rPr>
          <w:rFonts w:hint="eastAsia"/>
          <w:color w:val="0000FF"/>
          <w:lang w:val="en-US" w:eastAsia="zh-CN"/>
        </w:rPr>
      </w:pPr>
      <w:r>
        <w:rPr>
          <w:rFonts w:hint="eastAsia"/>
          <w:color w:val="0000FF"/>
        </w:rPr>
        <w:t>GB/T 30137</w:t>
      </w:r>
      <w:r>
        <w:rPr>
          <w:rFonts w:hint="eastAsia"/>
          <w:color w:val="0000FF"/>
          <w:lang w:val="en-US" w:eastAsia="zh-CN"/>
        </w:rPr>
        <w:t xml:space="preserve">  </w:t>
      </w:r>
      <w:r>
        <w:rPr>
          <w:rFonts w:hint="eastAsia"/>
          <w:color w:val="0000FF"/>
        </w:rPr>
        <w:t>电能质量电压暂降与短时中断</w:t>
      </w:r>
    </w:p>
    <w:p w14:paraId="1CAE960C">
      <w:pPr>
        <w:pStyle w:val="57"/>
        <w:ind w:firstLine="420"/>
        <w:rPr>
          <w:rFonts w:hint="eastAsia" w:ascii="宋体" w:hAnsi="Times New Roman" w:eastAsia="宋体" w:cs="Times New Roman"/>
          <w:color w:val="0000FF"/>
          <w:spacing w:val="0"/>
          <w:w w:val="100"/>
          <w:position w:val="0"/>
          <w:sz w:val="21"/>
          <w:szCs w:val="20"/>
          <w:lang w:val="en-US" w:eastAsia="zh-CN"/>
        </w:rPr>
      </w:pPr>
      <w:r>
        <w:rPr>
          <w:rFonts w:hint="eastAsia" w:ascii="宋体" w:hAnsi="Times New Roman" w:eastAsia="宋体" w:cs="Times New Roman"/>
          <w:color w:val="0000FF"/>
          <w:spacing w:val="0"/>
          <w:w w:val="100"/>
          <w:position w:val="0"/>
          <w:sz w:val="21"/>
          <w:szCs w:val="20"/>
          <w:lang w:val="en-US" w:eastAsia="zh-CN"/>
        </w:rPr>
        <w:t>GB/T</w:t>
      </w:r>
      <w:r>
        <w:rPr>
          <w:rFonts w:hint="eastAsia" w:cs="Times New Roman"/>
          <w:color w:val="0000FF"/>
          <w:spacing w:val="0"/>
          <w:w w:val="100"/>
          <w:position w:val="0"/>
          <w:sz w:val="21"/>
          <w:szCs w:val="20"/>
          <w:lang w:val="en-US" w:eastAsia="zh-CN"/>
        </w:rPr>
        <w:t xml:space="preserve"> </w:t>
      </w:r>
      <w:r>
        <w:rPr>
          <w:rFonts w:hint="eastAsia" w:ascii="宋体" w:hAnsi="Times New Roman" w:eastAsia="宋体" w:cs="Times New Roman"/>
          <w:color w:val="0000FF"/>
          <w:spacing w:val="0"/>
          <w:w w:val="100"/>
          <w:position w:val="0"/>
          <w:sz w:val="21"/>
          <w:szCs w:val="20"/>
          <w:lang w:val="en-US" w:eastAsia="zh-CN"/>
        </w:rPr>
        <w:t>30600</w:t>
      </w:r>
      <w:r>
        <w:rPr>
          <w:rFonts w:hint="eastAsia" w:hAnsi="Times New Roman" w:cs="Times New Roman"/>
          <w:color w:val="0000FF"/>
          <w:spacing w:val="0"/>
          <w:w w:val="100"/>
          <w:position w:val="0"/>
          <w:sz w:val="21"/>
          <w:szCs w:val="20"/>
          <w:lang w:val="en-US" w:eastAsia="zh-CN"/>
        </w:rPr>
        <w:t xml:space="preserve">  </w:t>
      </w:r>
      <w:r>
        <w:rPr>
          <w:rFonts w:hint="eastAsia" w:ascii="宋体" w:hAnsi="Times New Roman" w:eastAsia="宋体" w:cs="Times New Roman"/>
          <w:color w:val="0000FF"/>
          <w:spacing w:val="0"/>
          <w:w w:val="100"/>
          <w:position w:val="0"/>
          <w:sz w:val="21"/>
          <w:szCs w:val="20"/>
          <w:lang w:val="en-US" w:eastAsia="zh-CN"/>
        </w:rPr>
        <w:t>高标准农田建设通则</w:t>
      </w:r>
    </w:p>
    <w:p w14:paraId="4435391F">
      <w:pPr>
        <w:pStyle w:val="57"/>
        <w:ind w:firstLine="420"/>
        <w:rPr>
          <w:color w:val="0000FF"/>
        </w:rPr>
      </w:pPr>
      <w:r>
        <w:rPr>
          <w:rFonts w:hint="eastAsia"/>
          <w:color w:val="0000FF"/>
        </w:rPr>
        <w:t xml:space="preserve">GB/T 33593 </w:t>
      </w:r>
      <w:r>
        <w:rPr>
          <w:rFonts w:hint="eastAsia"/>
          <w:color w:val="0000FF"/>
          <w:lang w:val="en-US" w:eastAsia="zh-CN"/>
        </w:rPr>
        <w:t xml:space="preserve"> </w:t>
      </w:r>
      <w:r>
        <w:rPr>
          <w:rFonts w:hint="eastAsia"/>
          <w:color w:val="0000FF"/>
        </w:rPr>
        <w:t>分布式电源并网技术要求</w:t>
      </w:r>
    </w:p>
    <w:p w14:paraId="3C641A28">
      <w:pPr>
        <w:pStyle w:val="57"/>
        <w:ind w:firstLine="420"/>
        <w:rPr>
          <w:color w:val="0000FF"/>
        </w:rPr>
      </w:pPr>
      <w:r>
        <w:rPr>
          <w:rFonts w:hint="eastAsia"/>
          <w:color w:val="0000FF"/>
        </w:rPr>
        <w:t xml:space="preserve">GB/T 36278 </w:t>
      </w:r>
      <w:r>
        <w:rPr>
          <w:rFonts w:hint="eastAsia"/>
          <w:color w:val="0000FF"/>
          <w:lang w:val="en-US" w:eastAsia="zh-CN"/>
        </w:rPr>
        <w:t xml:space="preserve"> </w:t>
      </w:r>
      <w:r>
        <w:rPr>
          <w:rFonts w:hint="eastAsia"/>
          <w:color w:val="0000FF"/>
        </w:rPr>
        <w:t>电动汽车充换电设施接入配电网技术规范</w:t>
      </w:r>
    </w:p>
    <w:p w14:paraId="2DAC99E3">
      <w:pPr>
        <w:pStyle w:val="57"/>
        <w:ind w:firstLine="420"/>
        <w:rPr>
          <w:color w:val="0000FF"/>
        </w:rPr>
      </w:pPr>
      <w:r>
        <w:rPr>
          <w:rFonts w:hint="eastAsia"/>
          <w:color w:val="0000FF"/>
        </w:rPr>
        <w:t xml:space="preserve">GB/T 36547 </w:t>
      </w:r>
      <w:r>
        <w:rPr>
          <w:rFonts w:hint="eastAsia"/>
          <w:color w:val="0000FF"/>
          <w:lang w:val="en-US" w:eastAsia="zh-CN"/>
        </w:rPr>
        <w:t xml:space="preserve"> </w:t>
      </w:r>
      <w:r>
        <w:rPr>
          <w:rFonts w:hint="eastAsia"/>
          <w:color w:val="0000FF"/>
        </w:rPr>
        <w:t>电化学储能系统接入电网技术规定</w:t>
      </w:r>
    </w:p>
    <w:p w14:paraId="2DA269B3">
      <w:pPr>
        <w:pStyle w:val="57"/>
        <w:ind w:firstLine="420"/>
        <w:rPr>
          <w:rFonts w:hint="eastAsia"/>
          <w:color w:val="0000FF"/>
        </w:rPr>
      </w:pPr>
      <w:r>
        <w:rPr>
          <w:rFonts w:hint="eastAsia"/>
          <w:color w:val="0000FF"/>
        </w:rPr>
        <w:t>GB/T 50065</w:t>
      </w:r>
      <w:r>
        <w:rPr>
          <w:rFonts w:hint="eastAsia"/>
          <w:color w:val="0000FF"/>
          <w:lang w:val="en-US" w:eastAsia="zh-CN"/>
        </w:rPr>
        <w:t xml:space="preserve">  </w:t>
      </w:r>
      <w:r>
        <w:rPr>
          <w:rFonts w:hint="eastAsia"/>
          <w:color w:val="0000FF"/>
        </w:rPr>
        <w:t>交流电气装置的接地设计规范</w:t>
      </w:r>
    </w:p>
    <w:p w14:paraId="08AF6CA9">
      <w:pPr>
        <w:pStyle w:val="57"/>
        <w:ind w:firstLine="420"/>
        <w:rPr>
          <w:color w:val="0000FF"/>
        </w:rPr>
      </w:pPr>
      <w:r>
        <w:rPr>
          <w:rFonts w:hint="eastAsia"/>
          <w:color w:val="0000FF"/>
        </w:rPr>
        <w:t>DL/T 448  电能计量装置技术管理规程</w:t>
      </w:r>
    </w:p>
    <w:p w14:paraId="5118374F">
      <w:pPr>
        <w:pStyle w:val="57"/>
        <w:ind w:firstLine="420"/>
        <w:rPr>
          <w:color w:val="0000FF"/>
        </w:rPr>
      </w:pPr>
      <w:r>
        <w:rPr>
          <w:rFonts w:hint="eastAsia"/>
          <w:color w:val="0000FF"/>
        </w:rPr>
        <w:t>DL/T 599  中低压配电网改造技术导则</w:t>
      </w:r>
    </w:p>
    <w:p w14:paraId="10B19C26">
      <w:pPr>
        <w:pStyle w:val="57"/>
        <w:ind w:firstLine="420"/>
        <w:rPr>
          <w:rFonts w:hint="eastAsia"/>
          <w:color w:val="0000FF"/>
        </w:rPr>
      </w:pPr>
      <w:r>
        <w:rPr>
          <w:rFonts w:hint="eastAsia"/>
          <w:color w:val="0000FF"/>
        </w:rPr>
        <w:t>DL/T 736</w:t>
      </w:r>
      <w:r>
        <w:rPr>
          <w:rFonts w:hint="eastAsia"/>
          <w:color w:val="0000FF"/>
          <w:lang w:val="en-US" w:eastAsia="zh-CN"/>
        </w:rPr>
        <w:t xml:space="preserve">  </w:t>
      </w:r>
      <w:r>
        <w:rPr>
          <w:rFonts w:hint="eastAsia"/>
          <w:color w:val="0000FF"/>
        </w:rPr>
        <w:t>农村电网剩余电流动作保护器安装运行规程</w:t>
      </w:r>
    </w:p>
    <w:p w14:paraId="0F3D6BB5">
      <w:pPr>
        <w:pStyle w:val="57"/>
        <w:ind w:firstLine="420"/>
        <w:rPr>
          <w:rFonts w:hint="eastAsia" w:eastAsia="宋体"/>
          <w:color w:val="0000FF"/>
          <w:lang w:val="en-US" w:eastAsia="zh-CN"/>
        </w:rPr>
      </w:pPr>
      <w:r>
        <w:rPr>
          <w:rFonts w:hint="eastAsia"/>
          <w:color w:val="0000FF"/>
        </w:rPr>
        <w:t>DL/T 738</w:t>
      </w:r>
      <w:r>
        <w:rPr>
          <w:rFonts w:hint="eastAsia"/>
          <w:color w:val="0000FF"/>
          <w:lang w:val="en-US" w:eastAsia="zh-CN"/>
        </w:rPr>
        <w:t xml:space="preserve">  </w:t>
      </w:r>
      <w:r>
        <w:rPr>
          <w:rFonts w:hint="eastAsia"/>
          <w:color w:val="0000FF"/>
        </w:rPr>
        <w:t>农村电网节电技术规程</w:t>
      </w:r>
    </w:p>
    <w:p w14:paraId="3DB03E02">
      <w:pPr>
        <w:pStyle w:val="57"/>
        <w:ind w:firstLine="420"/>
        <w:rPr>
          <w:rFonts w:hint="eastAsia"/>
          <w:color w:val="0000FF"/>
        </w:rPr>
      </w:pPr>
      <w:r>
        <w:rPr>
          <w:rFonts w:hint="eastAsia"/>
          <w:color w:val="0000FF"/>
        </w:rPr>
        <w:t>DL/T 814  配电自动化系统技术规范</w:t>
      </w:r>
    </w:p>
    <w:p w14:paraId="5B4E037D">
      <w:pPr>
        <w:pStyle w:val="57"/>
        <w:ind w:firstLine="420"/>
        <w:rPr>
          <w:rFonts w:hint="eastAsia"/>
          <w:color w:val="0000FF"/>
        </w:rPr>
      </w:pPr>
      <w:r>
        <w:rPr>
          <w:rFonts w:hint="eastAsia"/>
          <w:color w:val="0000FF"/>
        </w:rPr>
        <w:t>DL/T 985  配电变压器能效技术经济评价导则</w:t>
      </w:r>
    </w:p>
    <w:p w14:paraId="101166B5">
      <w:pPr>
        <w:pStyle w:val="57"/>
        <w:ind w:firstLine="420"/>
        <w:rPr>
          <w:rFonts w:hint="eastAsia"/>
          <w:color w:val="0000FF"/>
        </w:rPr>
      </w:pPr>
      <w:r>
        <w:rPr>
          <w:rFonts w:hint="eastAsia"/>
          <w:color w:val="0000FF"/>
        </w:rPr>
        <w:t>DL/T 1917</w:t>
      </w:r>
      <w:r>
        <w:rPr>
          <w:rFonts w:hint="eastAsia"/>
          <w:color w:val="0000FF"/>
          <w:lang w:val="en-US" w:eastAsia="zh-CN"/>
        </w:rPr>
        <w:t xml:space="preserve">  </w:t>
      </w:r>
      <w:r>
        <w:rPr>
          <w:rFonts w:hint="eastAsia"/>
          <w:color w:val="0000FF"/>
        </w:rPr>
        <w:t>电力用户业扩报装技术规范</w:t>
      </w:r>
    </w:p>
    <w:p w14:paraId="05806D3F">
      <w:pPr>
        <w:pStyle w:val="57"/>
        <w:ind w:firstLine="420"/>
        <w:rPr>
          <w:rFonts w:hint="eastAsia"/>
          <w:color w:val="0000FF"/>
        </w:rPr>
      </w:pPr>
      <w:r>
        <w:rPr>
          <w:rFonts w:hint="eastAsia"/>
          <w:color w:val="0000FF"/>
        </w:rPr>
        <w:t>DL/T 5131</w:t>
      </w:r>
      <w:r>
        <w:rPr>
          <w:rFonts w:hint="eastAsia"/>
          <w:color w:val="0000FF"/>
          <w:lang w:val="en-US" w:eastAsia="zh-CN"/>
        </w:rPr>
        <w:t xml:space="preserve">  </w:t>
      </w:r>
      <w:r>
        <w:rPr>
          <w:rFonts w:hint="eastAsia"/>
          <w:color w:val="0000FF"/>
        </w:rPr>
        <w:t>农村电网建设与改造技术导则</w:t>
      </w:r>
    </w:p>
    <w:p w14:paraId="7027D77F">
      <w:pPr>
        <w:pStyle w:val="57"/>
        <w:ind w:firstLine="420"/>
        <w:rPr>
          <w:rFonts w:hint="eastAsia"/>
          <w:color w:val="0000FF"/>
        </w:rPr>
      </w:pPr>
      <w:r>
        <w:rPr>
          <w:rFonts w:hint="eastAsia"/>
          <w:color w:val="0000FF"/>
        </w:rPr>
        <w:t>DL/T 5542</w:t>
      </w:r>
      <w:r>
        <w:rPr>
          <w:rFonts w:hint="eastAsia"/>
          <w:color w:val="0000FF"/>
          <w:lang w:val="en-US" w:eastAsia="zh-CN"/>
        </w:rPr>
        <w:t xml:space="preserve">  </w:t>
      </w:r>
      <w:r>
        <w:rPr>
          <w:rFonts w:hint="eastAsia"/>
          <w:color w:val="0000FF"/>
        </w:rPr>
        <w:t>配电网规划设计规程</w:t>
      </w:r>
    </w:p>
    <w:p w14:paraId="583FA5DD">
      <w:pPr>
        <w:pStyle w:val="57"/>
        <w:ind w:firstLine="420"/>
        <w:rPr>
          <w:rFonts w:hint="eastAsia"/>
          <w:color w:val="0000FF"/>
        </w:rPr>
      </w:pPr>
      <w:r>
        <w:rPr>
          <w:rFonts w:hint="eastAsia"/>
          <w:color w:val="0000FF"/>
        </w:rPr>
        <w:t>DL/T 5729</w:t>
      </w:r>
      <w:r>
        <w:rPr>
          <w:rFonts w:hint="eastAsia"/>
          <w:color w:val="0000FF"/>
          <w:lang w:val="en-US" w:eastAsia="zh-CN"/>
        </w:rPr>
        <w:t xml:space="preserve">  </w:t>
      </w:r>
      <w:r>
        <w:rPr>
          <w:rFonts w:hint="eastAsia"/>
          <w:color w:val="0000FF"/>
        </w:rPr>
        <w:t>配电网规划设计技术导则</w:t>
      </w:r>
    </w:p>
    <w:p w14:paraId="7176C99B">
      <w:pPr>
        <w:pStyle w:val="57"/>
        <w:ind w:firstLine="420"/>
        <w:rPr>
          <w:color w:val="0000FF"/>
        </w:rPr>
      </w:pPr>
      <w:r>
        <w:rPr>
          <w:rFonts w:hint="eastAsia" w:ascii="宋体" w:hAnsi="Times New Roman" w:eastAsia="宋体" w:cs="Times New Roman"/>
          <w:color w:val="0000FF"/>
          <w:spacing w:val="0"/>
          <w:w w:val="100"/>
          <w:position w:val="0"/>
          <w:sz w:val="21"/>
          <w:szCs w:val="20"/>
          <w:lang w:val="en-US" w:eastAsia="zh-CN"/>
        </w:rPr>
        <w:t>SL4</w:t>
      </w:r>
      <w:r>
        <w:rPr>
          <w:rFonts w:hint="eastAsia" w:hAnsi="Times New Roman" w:cs="Times New Roman"/>
          <w:color w:val="0000FF"/>
          <w:spacing w:val="0"/>
          <w:w w:val="100"/>
          <w:position w:val="0"/>
          <w:sz w:val="21"/>
          <w:szCs w:val="20"/>
          <w:lang w:val="en-US" w:eastAsia="zh-CN"/>
        </w:rPr>
        <w:t xml:space="preserve">  </w:t>
      </w:r>
      <w:r>
        <w:rPr>
          <w:rFonts w:hint="eastAsia" w:ascii="宋体" w:hAnsi="Times New Roman" w:eastAsia="宋体" w:cs="Times New Roman"/>
          <w:color w:val="0000FF"/>
          <w:spacing w:val="0"/>
          <w:w w:val="100"/>
          <w:position w:val="0"/>
          <w:sz w:val="21"/>
          <w:szCs w:val="20"/>
          <w:lang w:val="en-US" w:eastAsia="zh-CN"/>
        </w:rPr>
        <w:t>农田排水工程技术规范</w:t>
      </w:r>
    </w:p>
    <w:p w14:paraId="7452AA62">
      <w:pPr>
        <w:pStyle w:val="57"/>
        <w:ind w:firstLine="420"/>
        <w:rPr>
          <w:color w:val="0000FF"/>
        </w:rPr>
      </w:pPr>
      <w:r>
        <w:rPr>
          <w:rFonts w:hint="eastAsia"/>
          <w:color w:val="0000FF"/>
        </w:rPr>
        <w:t>NB/T 32015  分布式电源接入配电网技术规定</w:t>
      </w:r>
    </w:p>
    <w:p w14:paraId="1C9C5C2C">
      <w:pPr>
        <w:pStyle w:val="57"/>
        <w:ind w:firstLine="420"/>
        <w:rPr>
          <w:rFonts w:hint="eastAsia"/>
          <w:color w:val="0000FF"/>
        </w:rPr>
      </w:pPr>
      <w:r>
        <w:rPr>
          <w:rFonts w:hint="eastAsia"/>
          <w:color w:val="0000FF"/>
        </w:rPr>
        <w:t>NB/T 33015  电化学储能系统接入配电网技术规定</w:t>
      </w:r>
    </w:p>
    <w:p w14:paraId="6240500D">
      <w:pPr>
        <w:pStyle w:val="105"/>
        <w:spacing w:before="240" w:after="240"/>
      </w:pPr>
      <w:bookmarkStart w:id="37" w:name="_Toc97192966"/>
      <w:r>
        <w:rPr>
          <w:rFonts w:hint="eastAsia"/>
          <w:szCs w:val="21"/>
        </w:rPr>
        <w:t>术语和定义</w:t>
      </w:r>
      <w:bookmarkEnd w:id="37"/>
    </w:p>
    <w:sdt>
      <w:sdtPr>
        <w:id w:val="-1909835108"/>
        <w:placeholder>
          <w:docPart w:val="8371590E737F47AFA03D56031C5E807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BFA51E4">
          <w:pPr>
            <w:pStyle w:val="57"/>
            <w:ind w:firstLine="420"/>
          </w:pPr>
          <w:bookmarkStart w:id="38" w:name="_Toc26986532"/>
          <w:bookmarkEnd w:id="38"/>
          <w:r>
            <w:t>下列术语和定义适用于本文件。</w:t>
          </w:r>
        </w:p>
      </w:sdtContent>
    </w:sdt>
    <w:p w14:paraId="7E926981">
      <w:pPr>
        <w:pStyle w:val="224"/>
        <w:ind w:left="420" w:hanging="420" w:hangingChars="200"/>
        <w:rPr>
          <w:rFonts w:ascii="黑体" w:hAnsi="黑体" w:eastAsia="黑体"/>
        </w:rPr>
      </w:pPr>
    </w:p>
    <w:p w14:paraId="7C3379D1">
      <w:pPr>
        <w:pStyle w:val="57"/>
        <w:rPr>
          <w:rFonts w:hint="eastAsia" w:ascii="黑体" w:hAnsi="黑体" w:eastAsia="黑体"/>
        </w:rPr>
      </w:pPr>
      <w:r>
        <w:rPr>
          <w:rFonts w:hint="eastAsia" w:ascii="黑体" w:hAnsi="黑体" w:eastAsia="黑体"/>
          <w:lang w:val="en-US" w:eastAsia="zh-CN"/>
        </w:rPr>
        <w:t>高标准基本农田</w:t>
      </w:r>
      <w:r>
        <w:rPr>
          <w:rFonts w:hint="eastAsia" w:ascii="黑体" w:hAnsi="黑体" w:eastAsia="黑体"/>
        </w:rPr>
        <w:t xml:space="preserve"> well-facilitied capital farmland</w:t>
      </w:r>
    </w:p>
    <w:p w14:paraId="39EB3468">
      <w:pPr>
        <w:pStyle w:val="57"/>
      </w:pPr>
      <w:r>
        <w:rPr>
          <w:rFonts w:hint="eastAsia"/>
        </w:rPr>
        <w:t>一定时期内,通过农村土地整治形成的集中连片、设施配套、高产稳产、生态良好、抗灾能力强与现代农业生产和经营方式相适应的基本农田。包括经过整治后达到标准的原有基本农田和新划定的基本</w:t>
      </w:r>
      <w:r>
        <w:rPr>
          <w:rFonts w:hint="eastAsia"/>
          <w:lang w:val="en-US" w:eastAsia="zh-CN"/>
        </w:rPr>
        <w:t>农田。</w:t>
      </w:r>
    </w:p>
    <w:p w14:paraId="16AA6C52">
      <w:pPr>
        <w:pStyle w:val="224"/>
        <w:ind w:left="420" w:hanging="420" w:hangingChars="200"/>
        <w:rPr>
          <w:rFonts w:ascii="黑体" w:hAnsi="黑体" w:eastAsia="黑体"/>
        </w:rPr>
      </w:pPr>
    </w:p>
    <w:p w14:paraId="0B1C509F">
      <w:pPr>
        <w:pStyle w:val="57"/>
        <w:rPr>
          <w:rFonts w:ascii="黑体" w:hAnsi="黑体" w:eastAsia="黑体"/>
        </w:rPr>
      </w:pPr>
      <w:r>
        <w:rPr>
          <w:rFonts w:hint="eastAsia" w:ascii="黑体" w:hAnsi="黑体" w:eastAsia="黑体"/>
          <w:lang w:val="en-US" w:eastAsia="zh-CN"/>
        </w:rPr>
        <w:t>基本农田保护区</w:t>
      </w:r>
      <w:r>
        <w:rPr>
          <w:rFonts w:hint="eastAsia" w:ascii="黑体" w:hAnsi="黑体" w:eastAsia="黑体"/>
        </w:rPr>
        <w:t xml:space="preserve"> land use zone for the capital farmland protection</w:t>
      </w:r>
    </w:p>
    <w:p w14:paraId="2C97C930">
      <w:pPr>
        <w:pStyle w:val="57"/>
        <w:rPr>
          <w:rFonts w:hint="eastAsia" w:ascii="黑体" w:hAnsi="黑体" w:eastAsia="宋体"/>
          <w:lang w:eastAsia="zh-CN"/>
        </w:rPr>
      </w:pPr>
      <w:r>
        <w:rPr>
          <w:rFonts w:hint="eastAsia"/>
        </w:rPr>
        <w:t>为对基本农田实行特殊保护和管理而依据土地利用总体规划和依照法定程序确定的特定保护区城</w:t>
      </w:r>
      <w:r>
        <w:rPr>
          <w:rFonts w:hint="eastAsia"/>
          <w:lang w:eastAsia="zh-CN"/>
        </w:rPr>
        <w:t>。</w:t>
      </w:r>
    </w:p>
    <w:p w14:paraId="04EBE685">
      <w:pPr>
        <w:pStyle w:val="224"/>
        <w:ind w:left="420" w:hanging="420" w:hangingChars="200"/>
        <w:rPr>
          <w:rFonts w:ascii="黑体" w:hAnsi="黑体" w:eastAsia="黑体"/>
        </w:rPr>
      </w:pPr>
    </w:p>
    <w:p w14:paraId="6A585755">
      <w:pPr>
        <w:pStyle w:val="57"/>
      </w:pPr>
      <w:r>
        <w:rPr>
          <w:rFonts w:hint="eastAsia" w:ascii="黑体" w:hAnsi="黑体" w:eastAsia="黑体"/>
        </w:rPr>
        <w:t>高标准基本农田建设 well-facilitied capital farmland construction</w:t>
      </w:r>
    </w:p>
    <w:p w14:paraId="50CA8759">
      <w:pPr>
        <w:pStyle w:val="57"/>
        <w:rPr>
          <w:rFonts w:hint="eastAsia" w:eastAsia="宋体"/>
          <w:lang w:eastAsia="zh-CN"/>
        </w:rPr>
      </w:pPr>
      <w:r>
        <w:rPr>
          <w:rFonts w:hint="eastAsia"/>
        </w:rPr>
        <w:t>以建设高标准基本农田为目标,依据土地利用总体规划和土地整治规划,在农村土地整治重点区域及重大工程建设区域、基本农田保护区、基本农田整备区等开展的土地整治活动</w:t>
      </w:r>
      <w:r>
        <w:rPr>
          <w:rFonts w:hint="eastAsia"/>
          <w:lang w:eastAsia="zh-CN"/>
        </w:rPr>
        <w:t>。</w:t>
      </w:r>
    </w:p>
    <w:p w14:paraId="20C7971E">
      <w:pPr>
        <w:pStyle w:val="224"/>
        <w:ind w:left="420" w:hanging="420" w:hangingChars="200"/>
        <w:rPr>
          <w:rFonts w:ascii="黑体" w:hAnsi="黑体" w:eastAsia="黑体"/>
        </w:rPr>
      </w:pPr>
    </w:p>
    <w:p w14:paraId="64D439DE">
      <w:pPr>
        <w:pStyle w:val="57"/>
      </w:pPr>
      <w:r>
        <w:rPr>
          <w:rFonts w:hint="eastAsia" w:ascii="黑体" w:hAnsi="黑体" w:eastAsia="黑体"/>
        </w:rPr>
        <w:t>基本农田整备区 capital farmland supplemental district</w:t>
      </w:r>
    </w:p>
    <w:p w14:paraId="583880A8">
      <w:pPr>
        <w:pStyle w:val="57"/>
      </w:pPr>
      <w:r>
        <w:rPr>
          <w:rFonts w:hint="eastAsia"/>
        </w:rPr>
        <w:t>指通过土地整治活动,逐步形成的集中连片、具有良好水利和水保持设施的耕地集中分布区域规划期间区域内的耕地可以调整补充为基本农田</w:t>
      </w:r>
      <w:r>
        <w:rPr>
          <w:rFonts w:hint="eastAsia"/>
          <w:lang w:val="en-US" w:eastAsia="zh-CN"/>
        </w:rPr>
        <w:t>。</w:t>
      </w:r>
    </w:p>
    <w:p w14:paraId="7CC418AB">
      <w:pPr>
        <w:pStyle w:val="224"/>
        <w:ind w:left="420" w:hanging="420" w:hangingChars="200"/>
        <w:rPr>
          <w:rFonts w:ascii="黑体" w:hAnsi="黑体" w:eastAsia="黑体"/>
        </w:rPr>
      </w:pPr>
    </w:p>
    <w:p w14:paraId="2E775867">
      <w:pPr>
        <w:pStyle w:val="57"/>
      </w:pPr>
      <w:r>
        <w:rPr>
          <w:rFonts w:hint="eastAsia" w:ascii="黑体" w:hAnsi="黑体" w:eastAsia="黑体" w:cs="Times New Roman"/>
          <w:sz w:val="21"/>
          <w:szCs w:val="20"/>
        </w:rPr>
        <w:t>乡村电气化 rural electrification</w:t>
      </w:r>
    </w:p>
    <w:p w14:paraId="156C75F4">
      <w:pPr>
        <w:pStyle w:val="57"/>
      </w:pPr>
      <w:r>
        <w:rPr>
          <w:rFonts w:hint="eastAsia" w:ascii="宋体" w:hAnsi="Times New Roman" w:eastAsia="宋体" w:cs="Times New Roman"/>
          <w:sz w:val="21"/>
          <w:szCs w:val="20"/>
        </w:rPr>
        <w:t>通过改造升级乡村配电网，提高乡村供电服务水平和用电保障能力，促进能源需求向电力转化，提高电能在终端能源消费中的比重。主要包括农业生产、乡村产业、乡村生活电气化等方面</w:t>
      </w:r>
      <w:r>
        <w:rPr>
          <w:rFonts w:hint="eastAsia" w:cs="Times New Roman"/>
          <w:sz w:val="21"/>
          <w:szCs w:val="20"/>
          <w:lang w:eastAsia="zh-CN"/>
        </w:rPr>
        <w:t>。</w:t>
      </w:r>
    </w:p>
    <w:p w14:paraId="525CDEE3">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配电网 distribution network</w:t>
      </w:r>
    </w:p>
    <w:p w14:paraId="46FD5E2B">
      <w:pPr>
        <w:pStyle w:val="57"/>
        <w:ind w:firstLine="420"/>
      </w:pPr>
      <w:r>
        <w:rPr>
          <w:rFonts w:hint="eastAsia"/>
        </w:rPr>
        <w:t>从电源侧（输电网、发电设施、分布式电源等）接受电能，并通过配电设施就地或逐级分配给各类用户的电力网络。中压配电网指10（20、6）kV电网，低压配电网指380/220V电网。</w:t>
      </w:r>
    </w:p>
    <w:p w14:paraId="05A13BE8">
      <w:pPr>
        <w:pStyle w:val="224"/>
        <w:ind w:left="420" w:hanging="420" w:hangingChars="200"/>
        <w:rPr>
          <w:rFonts w:ascii="黑体" w:hAnsi="黑体" w:eastAsia="黑体"/>
        </w:rPr>
      </w:pPr>
    </w:p>
    <w:p w14:paraId="16E7396F">
      <w:pPr>
        <w:pStyle w:val="57"/>
        <w:rPr>
          <w:rFonts w:ascii="黑体" w:hAnsi="黑体" w:eastAsia="黑体"/>
        </w:rPr>
      </w:pPr>
      <w:r>
        <w:rPr>
          <w:rFonts w:hint="eastAsia" w:ascii="黑体" w:hAnsi="黑体" w:eastAsia="黑体" w:cs="Times New Roman"/>
          <w:sz w:val="21"/>
          <w:szCs w:val="20"/>
        </w:rPr>
        <w:t>乡村配电网 rural distribution network</w:t>
      </w:r>
    </w:p>
    <w:p w14:paraId="04D7A462">
      <w:pPr>
        <w:pStyle w:val="57"/>
        <w:rPr>
          <w:rFonts w:ascii="黑体" w:hAnsi="黑体" w:eastAsia="黑体"/>
        </w:rPr>
      </w:pPr>
      <w:r>
        <w:rPr>
          <w:rFonts w:hint="eastAsia" w:ascii="宋体" w:hAnsi="Times New Roman" w:eastAsia="宋体" w:cs="Times New Roman"/>
          <w:sz w:val="21"/>
          <w:szCs w:val="20"/>
        </w:rPr>
        <w:t>主要为乡村各类用户供电的各级配电网。其中10kV电网为中压配电网，380/220V电网为低压配电网</w:t>
      </w:r>
      <w:r>
        <w:rPr>
          <w:rFonts w:ascii="宋体" w:hAnsi="宋体" w:eastAsia="宋体" w:cs="宋体"/>
          <w:sz w:val="24"/>
          <w:szCs w:val="24"/>
        </w:rPr>
        <w:t>。</w:t>
      </w:r>
    </w:p>
    <w:p w14:paraId="04828125">
      <w:pPr>
        <w:pStyle w:val="224"/>
        <w:ind w:left="420" w:hanging="420" w:hangingChars="200"/>
        <w:rPr>
          <w:rFonts w:ascii="黑体" w:hAnsi="黑体" w:eastAsia="黑体"/>
        </w:rPr>
      </w:pPr>
    </w:p>
    <w:p w14:paraId="330ACB54">
      <w:pPr>
        <w:pStyle w:val="57"/>
      </w:pPr>
      <w:r>
        <w:rPr>
          <w:rFonts w:hint="eastAsia" w:ascii="黑体" w:hAnsi="黑体" w:eastAsia="黑体" w:cs="Times New Roman"/>
          <w:sz w:val="21"/>
          <w:szCs w:val="20"/>
        </w:rPr>
        <w:t>供电可靠性 reliability of power suppiy</w:t>
      </w:r>
    </w:p>
    <w:p w14:paraId="01418566">
      <w:pPr>
        <w:pStyle w:val="57"/>
        <w:rPr>
          <w:rFonts w:hint="eastAsia" w:eastAsia="宋体"/>
          <w:lang w:eastAsia="zh-CN"/>
        </w:rPr>
      </w:pPr>
      <w:r>
        <w:rPr>
          <w:rFonts w:hint="eastAsia"/>
        </w:rPr>
        <w:t>配电网向用户持续供电的能力</w:t>
      </w:r>
      <w:r>
        <w:rPr>
          <w:rFonts w:hint="eastAsia"/>
          <w:lang w:eastAsia="zh-CN"/>
        </w:rPr>
        <w:t>。</w:t>
      </w:r>
    </w:p>
    <w:p w14:paraId="48C65F0F">
      <w:pPr>
        <w:pStyle w:val="224"/>
        <w:ind w:left="420" w:hanging="420" w:hangingChars="200"/>
        <w:rPr>
          <w:rFonts w:ascii="黑体" w:hAnsi="黑体" w:eastAsia="黑体"/>
        </w:rPr>
      </w:pPr>
    </w:p>
    <w:p w14:paraId="74BF686E">
      <w:pPr>
        <w:pStyle w:val="57"/>
      </w:pPr>
      <w:r>
        <w:rPr>
          <w:rFonts w:hint="eastAsia" w:ascii="黑体" w:hAnsi="黑体" w:eastAsia="黑体" w:cs="Times New Roman"/>
          <w:sz w:val="21"/>
          <w:szCs w:val="20"/>
        </w:rPr>
        <w:t>中压主干线 medium-voltage trunk lin</w:t>
      </w:r>
    </w:p>
    <w:p w14:paraId="0CD092F0">
      <w:pPr>
        <w:pStyle w:val="57"/>
      </w:pPr>
      <w:r>
        <w:rPr>
          <w:rFonts w:hint="eastAsia" w:ascii="宋体" w:hAnsi="Times New Roman" w:eastAsia="宋体" w:cs="Times New Roman"/>
          <w:sz w:val="21"/>
          <w:szCs w:val="20"/>
        </w:rPr>
        <w:t>变电站的 10kV 出线，并承担主要电力传输的线段。具备联络功能的线路段是主干线的一部分</w:t>
      </w:r>
      <w:r>
        <w:rPr>
          <w:rFonts w:hint="eastAsia" w:cs="Times New Roman"/>
          <w:sz w:val="21"/>
          <w:szCs w:val="20"/>
          <w:lang w:eastAsia="zh-CN"/>
        </w:rPr>
        <w:t>。</w:t>
      </w:r>
    </w:p>
    <w:p w14:paraId="1CCF8E30">
      <w:pPr>
        <w:pStyle w:val="224"/>
        <w:ind w:left="420" w:hanging="420" w:hangingChars="200"/>
        <w:rPr>
          <w:rFonts w:ascii="黑体" w:hAnsi="黑体" w:eastAsia="黑体"/>
        </w:rPr>
      </w:pPr>
    </w:p>
    <w:p w14:paraId="21B118C5">
      <w:pPr>
        <w:pStyle w:val="57"/>
        <w:rPr>
          <w:rFonts w:ascii="宋体" w:hAnsi="宋体" w:eastAsia="宋体" w:cs="宋体"/>
          <w:sz w:val="24"/>
          <w:szCs w:val="24"/>
        </w:rPr>
      </w:pPr>
      <w:r>
        <w:rPr>
          <w:rFonts w:hint="eastAsia" w:ascii="黑体" w:hAnsi="黑体" w:eastAsia="黑体" w:cs="Times New Roman"/>
          <w:sz w:val="21"/>
          <w:szCs w:val="20"/>
        </w:rPr>
        <w:t>中压分支线 medium-voltage branch line</w:t>
      </w:r>
    </w:p>
    <w:p w14:paraId="09154F25">
      <w:pPr>
        <w:pStyle w:val="57"/>
        <w:rPr>
          <w:rFonts w:hint="eastAsia"/>
        </w:rPr>
      </w:pPr>
      <w:r>
        <w:rPr>
          <w:rFonts w:hint="eastAsia" w:ascii="宋体" w:hAnsi="Times New Roman" w:eastAsia="宋体" w:cs="Times New Roman"/>
          <w:sz w:val="21"/>
          <w:szCs w:val="20"/>
        </w:rPr>
        <w:t>由中压主干线引出，除主干线以外的中压线路部分。</w:t>
      </w:r>
    </w:p>
    <w:p w14:paraId="220B4E2C">
      <w:pPr>
        <w:pStyle w:val="224"/>
        <w:ind w:left="420" w:hanging="420" w:hangingChars="200"/>
        <w:rPr>
          <w:rFonts w:ascii="黑体" w:hAnsi="黑体" w:eastAsia="黑体"/>
        </w:rPr>
      </w:pPr>
    </w:p>
    <w:p w14:paraId="42241050">
      <w:pPr>
        <w:pStyle w:val="57"/>
        <w:rPr>
          <w:rFonts w:ascii="宋体" w:hAnsi="宋体" w:eastAsia="宋体" w:cs="宋体"/>
          <w:sz w:val="24"/>
          <w:szCs w:val="24"/>
        </w:rPr>
      </w:pPr>
      <w:r>
        <w:rPr>
          <w:rFonts w:hint="eastAsia" w:ascii="黑体" w:hAnsi="黑体" w:eastAsia="黑体" w:cs="Times New Roman"/>
          <w:sz w:val="21"/>
          <w:szCs w:val="20"/>
        </w:rPr>
        <w:t>供电距离 power supply distance</w:t>
      </w:r>
    </w:p>
    <w:p w14:paraId="20ADEFF8">
      <w:pPr>
        <w:pStyle w:val="57"/>
        <w:rPr>
          <w:rFonts w:hint="eastAsia" w:eastAsia="宋体"/>
          <w:lang w:eastAsia="zh-CN"/>
        </w:rPr>
      </w:pPr>
      <w:r>
        <w:rPr>
          <w:rFonts w:hint="eastAsia" w:ascii="宋体" w:hAnsi="Times New Roman" w:eastAsia="宋体" w:cs="Times New Roman"/>
          <w:sz w:val="21"/>
          <w:szCs w:val="20"/>
        </w:rPr>
        <w:t>中低压配电线路的供电距离是指从变电站（配电变压器）出线到其供电的最远负荷点之间的线路长度</w:t>
      </w:r>
      <w:r>
        <w:rPr>
          <w:rFonts w:hint="eastAsia" w:cs="Times New Roman"/>
          <w:sz w:val="21"/>
          <w:szCs w:val="20"/>
          <w:lang w:eastAsia="zh-CN"/>
        </w:rPr>
        <w:t>。</w:t>
      </w:r>
    </w:p>
    <w:p w14:paraId="34B103CF">
      <w:pPr>
        <w:pStyle w:val="224"/>
        <w:ind w:left="420" w:hanging="420" w:hangingChars="200"/>
        <w:rPr>
          <w:rFonts w:ascii="黑体" w:hAnsi="黑体" w:eastAsia="黑体"/>
        </w:rPr>
      </w:pPr>
    </w:p>
    <w:p w14:paraId="10328D92">
      <w:pPr>
        <w:pStyle w:val="57"/>
        <w:rPr>
          <w:rFonts w:hint="eastAsia" w:ascii="黑体" w:hAnsi="黑体" w:eastAsia="黑体" w:cs="Times New Roman"/>
          <w:sz w:val="21"/>
          <w:szCs w:val="20"/>
        </w:rPr>
      </w:pPr>
      <w:r>
        <w:rPr>
          <w:rFonts w:hint="eastAsia" w:ascii="黑体" w:hAnsi="黑体" w:eastAsia="黑体" w:cs="Times New Roman"/>
          <w:sz w:val="21"/>
          <w:szCs w:val="20"/>
        </w:rPr>
        <w:t>双电源 double power supply</w:t>
      </w:r>
    </w:p>
    <w:p w14:paraId="2C2B6F54">
      <w:pPr>
        <w:pStyle w:val="57"/>
        <w:rPr>
          <w:rFonts w:hint="eastAsia" w:ascii="黑体" w:hAnsi="黑体"/>
        </w:rPr>
      </w:pPr>
      <w:r>
        <w:rPr>
          <w:rFonts w:hint="eastAsia" w:ascii="宋体" w:hAnsi="Times New Roman" w:eastAsia="宋体" w:cs="Times New Roman"/>
          <w:sz w:val="21"/>
          <w:szCs w:val="20"/>
        </w:rPr>
        <w:t>为同一用户负荷供电的两回供电线路，两回供电线路可以分别来自两个不同变电站，或来自不同电源进线的同一变电站内两段母线</w:t>
      </w:r>
      <w:r>
        <w:rPr>
          <w:rFonts w:hint="eastAsia" w:cs="Times New Roman"/>
          <w:sz w:val="21"/>
          <w:szCs w:val="20"/>
          <w:lang w:eastAsia="zh-CN"/>
        </w:rPr>
        <w:t>。</w:t>
      </w:r>
    </w:p>
    <w:p w14:paraId="55D662AD">
      <w:pPr>
        <w:pStyle w:val="224"/>
        <w:ind w:left="420" w:hanging="420" w:hangingChars="200"/>
        <w:rPr>
          <w:rFonts w:ascii="黑体" w:hAnsi="黑体" w:eastAsia="黑体"/>
        </w:rPr>
      </w:pPr>
    </w:p>
    <w:p w14:paraId="5E8B99E2">
      <w:pPr>
        <w:pStyle w:val="57"/>
        <w:rPr>
          <w:rFonts w:ascii="宋体" w:hAnsi="宋体" w:eastAsia="宋体" w:cs="宋体"/>
          <w:sz w:val="24"/>
          <w:szCs w:val="24"/>
        </w:rPr>
      </w:pPr>
      <w:r>
        <w:rPr>
          <w:rFonts w:hint="eastAsia" w:ascii="黑体" w:hAnsi="黑体" w:eastAsia="黑体" w:cs="Times New Roman"/>
          <w:sz w:val="21"/>
          <w:szCs w:val="20"/>
        </w:rPr>
        <w:t>双回路 double circui</w:t>
      </w:r>
    </w:p>
    <w:p w14:paraId="5156B0C0">
      <w:pPr>
        <w:pStyle w:val="57"/>
        <w:rPr>
          <w:rFonts w:hint="eastAsia" w:ascii="宋体" w:hAnsi="Times New Roman" w:eastAsia="宋体" w:cs="Times New Roman"/>
          <w:sz w:val="21"/>
          <w:szCs w:val="20"/>
        </w:rPr>
      </w:pPr>
      <w:r>
        <w:rPr>
          <w:rFonts w:hint="eastAsia" w:ascii="宋体" w:hAnsi="Times New Roman" w:eastAsia="宋体" w:cs="Times New Roman"/>
          <w:sz w:val="21"/>
          <w:szCs w:val="20"/>
        </w:rPr>
        <w:t>为同一用户负荷供电的两回供电线路，两回供电线路可以来自同一变电站的同一母线段。</w:t>
      </w:r>
    </w:p>
    <w:p w14:paraId="387E1592">
      <w:pPr>
        <w:pStyle w:val="224"/>
        <w:ind w:left="420" w:hanging="420" w:hangingChars="200"/>
        <w:rPr>
          <w:rFonts w:ascii="黑体" w:hAnsi="黑体" w:eastAsia="黑体"/>
        </w:rPr>
      </w:pPr>
    </w:p>
    <w:p w14:paraId="7301E4CD">
      <w:pPr>
        <w:pStyle w:val="57"/>
        <w:rPr>
          <w:rFonts w:hint="eastAsia" w:ascii="黑体" w:hAnsi="黑体" w:eastAsia="黑体"/>
          <w:lang w:val="en-US" w:eastAsia="zh-CN"/>
        </w:rPr>
      </w:pPr>
      <w:r>
        <w:rPr>
          <w:rFonts w:hint="eastAsia" w:ascii="黑体" w:hAnsi="黑体" w:eastAsia="黑体"/>
          <w:lang w:val="en-US" w:eastAsia="zh-CN"/>
        </w:rPr>
        <w:t>供配电设施 power supply</w:t>
      </w:r>
    </w:p>
    <w:p w14:paraId="050106CF">
      <w:pPr>
        <w:pStyle w:val="57"/>
        <w:rPr>
          <w:rFonts w:hint="eastAsia" w:ascii="黑体" w:hAnsi="黑体" w:eastAsia="宋体"/>
          <w:lang w:val="en-US" w:eastAsia="zh-CN"/>
        </w:rPr>
      </w:pPr>
      <w:r>
        <w:rPr>
          <w:rFonts w:hint="eastAsia"/>
        </w:rPr>
        <w:t>从配电网电源点至居民电能计量装置（含表箱、电表）及相关低压供电公建设施的产权分界处的电气设施</w:t>
      </w:r>
      <w:r>
        <w:rPr>
          <w:rFonts w:hint="eastAsia"/>
          <w:lang w:eastAsia="zh-CN"/>
        </w:rPr>
        <w:t>。</w:t>
      </w:r>
    </w:p>
    <w:p w14:paraId="02A621C1">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台区 Zone Area </w:t>
      </w:r>
    </w:p>
    <w:p w14:paraId="2525930D">
      <w:pPr>
        <w:pStyle w:val="57"/>
        <w:ind w:firstLine="420"/>
      </w:pPr>
      <w:r>
        <w:rPr>
          <w:rFonts w:hint="eastAsia"/>
        </w:rPr>
        <w:t>台区是指单台变压器的供电范围。</w:t>
      </w:r>
    </w:p>
    <w:p w14:paraId="7BAF9370">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分接箱 load center</w:t>
      </w:r>
    </w:p>
    <w:p w14:paraId="6EABE68F">
      <w:pPr>
        <w:pStyle w:val="57"/>
        <w:ind w:firstLine="420"/>
      </w:pPr>
      <w:r>
        <w:rPr>
          <w:rFonts w:hint="eastAsia"/>
        </w:rPr>
        <w:t>用来对电力线路实施接续、分供及三相与单相转换的设备。</w:t>
      </w:r>
    </w:p>
    <w:p w14:paraId="40F1A739">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cs="Times New Roman"/>
          <w:sz w:val="21"/>
          <w:szCs w:val="20"/>
        </w:rPr>
        <w:t>配电自动化 distribution automa</w:t>
      </w:r>
    </w:p>
    <w:p w14:paraId="338BC519">
      <w:pPr>
        <w:pStyle w:val="57"/>
        <w:rPr>
          <w:rFonts w:hint="eastAsia" w:eastAsia="宋体"/>
          <w:lang w:eastAsia="zh-CN"/>
        </w:rPr>
      </w:pPr>
      <w:r>
        <w:rPr>
          <w:rFonts w:hint="eastAsia" w:ascii="宋体" w:hAnsi="Times New Roman" w:eastAsia="宋体" w:cs="Times New Roman"/>
          <w:sz w:val="21"/>
          <w:szCs w:val="20"/>
        </w:rPr>
        <w:t>以一次网架和设备为基础，以配电自动化系统为核心，综合利用多种通讯方式，实现对配电系统的监测与控制，并通过与相关应用系统的信息集成，实现配电系统的科学管理</w:t>
      </w:r>
      <w:r>
        <w:rPr>
          <w:rFonts w:hint="eastAsia" w:cs="Times New Roman"/>
          <w:sz w:val="21"/>
          <w:szCs w:val="20"/>
          <w:lang w:eastAsia="zh-CN"/>
        </w:rPr>
        <w:t>。</w:t>
      </w:r>
    </w:p>
    <w:p w14:paraId="367AAC38">
      <w:pPr>
        <w:pStyle w:val="224"/>
        <w:ind w:left="420" w:hanging="420" w:hangingChars="200"/>
        <w:rPr>
          <w:rFonts w:ascii="黑体" w:hAnsi="黑体" w:eastAsia="黑体"/>
        </w:rPr>
      </w:pPr>
    </w:p>
    <w:p w14:paraId="5BCCFB3D">
      <w:pPr>
        <w:pStyle w:val="57"/>
        <w:ind w:firstLine="420"/>
        <w:rPr>
          <w:rFonts w:hint="eastAsia" w:ascii="黑体" w:hAnsi="黑体" w:eastAsia="黑体" w:cs="Times New Roman"/>
          <w:sz w:val="21"/>
          <w:szCs w:val="20"/>
        </w:rPr>
      </w:pPr>
      <w:r>
        <w:rPr>
          <w:rFonts w:hint="eastAsia" w:ascii="黑体" w:hAnsi="黑体" w:eastAsia="黑体" w:cs="Times New Roman"/>
          <w:sz w:val="21"/>
          <w:szCs w:val="20"/>
        </w:rPr>
        <w:t>充换电设施 charging and battery swap facilities</w:t>
      </w:r>
    </w:p>
    <w:p w14:paraId="55A275B9">
      <w:pPr>
        <w:pStyle w:val="57"/>
        <w:ind w:firstLine="420"/>
      </w:pPr>
      <w:r>
        <w:rPr>
          <w:rFonts w:hint="eastAsia" w:ascii="宋体" w:hAnsi="Times New Roman" w:eastAsia="宋体" w:cs="Times New Roman"/>
          <w:sz w:val="21"/>
          <w:szCs w:val="20"/>
        </w:rPr>
        <w:t>与电动汽车发生电能交换的相关设施的总称，一般包括充电站、充换电站、电池配送 中心、集中或分散布置的充电桩等</w:t>
      </w:r>
      <w:r>
        <w:rPr>
          <w:rFonts w:hint="eastAsia" w:cs="Times New Roman"/>
          <w:sz w:val="21"/>
          <w:szCs w:val="20"/>
          <w:lang w:eastAsia="zh-CN"/>
        </w:rPr>
        <w:t>。</w:t>
      </w:r>
    </w:p>
    <w:p w14:paraId="5EABC776">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cs="Times New Roman"/>
          <w:sz w:val="21"/>
          <w:szCs w:val="20"/>
        </w:rPr>
        <w:t>分布式电源 distributed generatio</w:t>
      </w:r>
    </w:p>
    <w:p w14:paraId="190297FC">
      <w:pPr>
        <w:pStyle w:val="57"/>
        <w:ind w:firstLine="420"/>
      </w:pPr>
      <w:r>
        <w:rPr>
          <w:rFonts w:hint="eastAsia" w:ascii="宋体" w:hAnsi="Times New Roman" w:eastAsia="宋体" w:cs="Times New Roman"/>
          <w:sz w:val="21"/>
          <w:szCs w:val="20"/>
        </w:rPr>
        <w:t>接入35kV及以下电压等级电网、位于用户附近，在35kV及以下电压等级就地消纳为主的电源</w:t>
      </w:r>
      <w:r>
        <w:rPr>
          <w:rFonts w:hint="eastAsia" w:cs="Times New Roman"/>
          <w:sz w:val="21"/>
          <w:szCs w:val="20"/>
          <w:lang w:eastAsia="zh-CN"/>
        </w:rPr>
        <w:t>。</w:t>
      </w:r>
      <w:r>
        <w:rPr>
          <w:rFonts w:hint="eastAsia"/>
        </w:rPr>
        <w:t>。</w:t>
      </w:r>
    </w:p>
    <w:p w14:paraId="1776E9FB">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cs="Times New Roman"/>
          <w:sz w:val="21"/>
          <w:szCs w:val="20"/>
        </w:rPr>
        <w:t>户均配变容量 distribution transformer capacity per household</w:t>
      </w:r>
    </w:p>
    <w:p w14:paraId="77391676">
      <w:pPr>
        <w:pStyle w:val="57"/>
        <w:ind w:left="420" w:leftChars="200" w:firstLine="0" w:firstLineChars="0"/>
        <w:rPr>
          <w:rFonts w:hint="eastAsia" w:cs="Times New Roman"/>
          <w:sz w:val="21"/>
          <w:szCs w:val="20"/>
          <w:lang w:eastAsia="zh-CN"/>
        </w:rPr>
      </w:pPr>
      <w:r>
        <w:rPr>
          <w:rFonts w:hint="eastAsia" w:ascii="宋体" w:hAnsi="Times New Roman" w:eastAsia="宋体" w:cs="Times New Roman"/>
          <w:sz w:val="21"/>
          <w:szCs w:val="20"/>
        </w:rPr>
        <w:t>户均配变容量为统计区域内公用配电变压器容量与低压用电户数的比值</w:t>
      </w:r>
      <w:r>
        <w:rPr>
          <w:rFonts w:hint="eastAsia" w:cs="Times New Roman"/>
          <w:sz w:val="21"/>
          <w:szCs w:val="20"/>
          <w:lang w:eastAsia="zh-CN"/>
        </w:rPr>
        <w:t>。</w:t>
      </w:r>
    </w:p>
    <w:p w14:paraId="0DAE197D">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农田输配电工程</w:t>
      </w:r>
      <w:r>
        <w:rPr>
          <w:rFonts w:hint="eastAsia" w:ascii="黑体" w:hAnsi="黑体" w:eastAsia="黑体" w:cs="Times New Roman"/>
          <w:sz w:val="21"/>
          <w:szCs w:val="20"/>
        </w:rPr>
        <w:t xml:space="preserve"> d</w:t>
      </w:r>
    </w:p>
    <w:p w14:paraId="55C786C8">
      <w:pPr>
        <w:pStyle w:val="57"/>
        <w:ind w:left="0" w:leftChars="0" w:firstLine="420" w:firstLineChars="200"/>
        <w:rPr>
          <w:rFonts w:ascii="黑体" w:hAnsi="黑体" w:eastAsia="黑体"/>
        </w:rPr>
      </w:pPr>
      <w:r>
        <w:rPr>
          <w:rFonts w:hint="eastAsia"/>
        </w:rPr>
        <w:t>农田输配电工程指为泵站、机井以及信息化工程等提供电力保障所需的强电、弱电等各种设施包括输电线路、变配电装置等</w:t>
      </w:r>
      <w:r>
        <w:rPr>
          <w:rFonts w:hint="eastAsia" w:cs="Times New Roman"/>
          <w:sz w:val="21"/>
          <w:szCs w:val="20"/>
          <w:lang w:eastAsia="zh-CN"/>
        </w:rPr>
        <w:t>。</w:t>
      </w:r>
    </w:p>
    <w:p w14:paraId="09811E0C">
      <w:pPr>
        <w:pStyle w:val="105"/>
        <w:spacing w:before="240" w:after="240"/>
      </w:pPr>
      <w:r>
        <w:rPr>
          <w:rFonts w:hint="eastAsia"/>
        </w:rPr>
        <w:t>基本要求</w:t>
      </w:r>
    </w:p>
    <w:p w14:paraId="35980FA8">
      <w:pPr>
        <w:pStyle w:val="106"/>
        <w:spacing w:before="120" w:after="120"/>
      </w:pPr>
      <w:r>
        <w:rPr>
          <w:rFonts w:hint="eastAsia"/>
          <w:lang w:val="en-US" w:eastAsia="zh-CN"/>
        </w:rPr>
        <w:t>高标准基本农田</w:t>
      </w:r>
      <w:r>
        <w:rPr>
          <w:rFonts w:hint="eastAsia"/>
        </w:rPr>
        <w:t>中低压配电网</w:t>
      </w:r>
    </w:p>
    <w:p w14:paraId="2015B41D">
      <w:pPr>
        <w:pStyle w:val="166"/>
        <w:rPr>
          <w:rFonts w:hint="eastAsia" w:hAnsi="宋体" w:cs="宋体"/>
        </w:rPr>
      </w:pPr>
      <w:r>
        <w:rPr>
          <w:rFonts w:hint="eastAsia"/>
        </w:rPr>
        <w:t>高标准基本农田中低压配电网</w:t>
      </w:r>
      <w:r>
        <w:rPr>
          <w:rFonts w:hint="eastAsia"/>
          <w:lang w:eastAsia="zh-CN"/>
        </w:rPr>
        <w:t>，</w:t>
      </w:r>
      <w:r>
        <w:rPr>
          <w:rFonts w:hint="eastAsia" w:hAnsi="宋体" w:cs="宋体"/>
          <w:spacing w:val="-1"/>
        </w:rPr>
        <w:t>其布设应与田间道路、灌溉与排水等工程相结合,</w:t>
      </w:r>
      <w:r>
        <w:rPr>
          <w:rFonts w:hint="eastAsia"/>
        </w:rPr>
        <w:t>应具有必备的容量裕度、适当的负荷转移能力、一定的自愈能力和应急处理能力，应构建安全可靠的电网结构、采用成熟可靠的配电设施、加强供电运维保障能力，增强区域负荷转移和互济能力，加强供电基础设施建设，持续提升用户可靠供电水平</w:t>
      </w:r>
      <w:r>
        <w:rPr>
          <w:rFonts w:hint="eastAsia" w:hAnsi="宋体" w:cs="宋体"/>
          <w:spacing w:val="-1"/>
          <w:lang w:eastAsia="zh-CN"/>
        </w:rPr>
        <w:t>。</w:t>
      </w:r>
      <w:r>
        <w:rPr>
          <w:rFonts w:hint="eastAsia" w:hAnsi="宋体" w:cs="宋体"/>
          <w:spacing w:val="-1"/>
        </w:rPr>
        <w:t>符合电力系统安装与运行相关标准,保证用电质量和安全</w:t>
      </w:r>
      <w:r>
        <w:rPr>
          <w:rFonts w:hint="eastAsia" w:hAnsi="宋体" w:cs="宋体"/>
          <w:spacing w:val="-1"/>
          <w:lang w:eastAsia="zh-CN"/>
        </w:rPr>
        <w:t>。</w:t>
      </w:r>
    </w:p>
    <w:p w14:paraId="0A590042">
      <w:pPr>
        <w:pStyle w:val="166"/>
        <w:rPr>
          <w:rFonts w:hint="eastAsia" w:hAnsi="宋体" w:cs="宋体"/>
        </w:rPr>
      </w:pPr>
      <w:r>
        <w:rPr>
          <w:rFonts w:hint="eastAsia"/>
        </w:rPr>
        <w:t>高标准基本农田中低压配电网规划应遵循“统一规划、适度超前”的原则，与其它基础设施同步规划，纳入国土空间规划体系，推行目标网架理念，推进标准化建设，应满足农业生产用电需求,并应与当地电网建设规划相协调</w:t>
      </w:r>
      <w:r>
        <w:rPr>
          <w:rFonts w:hint="eastAsia"/>
          <w:lang w:eastAsia="zh-CN"/>
        </w:rPr>
        <w:t>，</w:t>
      </w:r>
      <w:r>
        <w:rPr>
          <w:rFonts w:hint="eastAsia"/>
        </w:rPr>
        <w:t>满足乡村经济中长期发展要求，避免重复建设</w:t>
      </w:r>
      <w:r>
        <w:rPr>
          <w:rFonts w:hint="eastAsia"/>
          <w:lang w:eastAsia="zh-CN"/>
        </w:rPr>
        <w:t>。</w:t>
      </w:r>
    </w:p>
    <w:p w14:paraId="79E391CD">
      <w:pPr>
        <w:pStyle w:val="166"/>
        <w:rPr>
          <w:rFonts w:hint="eastAsia" w:hAnsi="宋体" w:cs="宋体"/>
        </w:rPr>
      </w:pPr>
      <w:r>
        <w:rPr>
          <w:rFonts w:hint="eastAsia"/>
        </w:rPr>
        <w:t>高标准基本农田中低压</w:t>
      </w:r>
      <w:r>
        <w:rPr>
          <w:rFonts w:hint="eastAsia"/>
          <w:lang w:eastAsia="zh-CN"/>
        </w:rPr>
        <w:t>配电网</w:t>
      </w:r>
      <w:r>
        <w:rPr>
          <w:rFonts w:hint="eastAsia"/>
        </w:rPr>
        <w:t>设计和建设应按照远景负荷需求，导线截面宜一次选定、廊道宜一次到位、土建应一次建成，二次系统宜与一次配电系统同步设计、同步建设、同步投运，提升乡村电网发展质量和水平</w:t>
      </w:r>
      <w:r>
        <w:rPr>
          <w:rFonts w:hint="eastAsia"/>
          <w:lang w:eastAsia="zh-CN"/>
        </w:rPr>
        <w:t>。</w:t>
      </w:r>
    </w:p>
    <w:p w14:paraId="2DDE9AF1">
      <w:pPr>
        <w:pStyle w:val="166"/>
        <w:rPr>
          <w:rFonts w:hint="eastAsia" w:hAnsi="宋体" w:cs="宋体"/>
        </w:rPr>
      </w:pPr>
      <w:r>
        <w:rPr>
          <w:rFonts w:hint="eastAsia"/>
        </w:rPr>
        <w:t>高标准基本农田中低压配电网建设改造应满足标准化建设要求，加强工程安全、质量、进度、成本  等方面管控，采用先进的施工技术和检验手段，合理安排施工周期。配电网工程应严格按照标准验收，所采用的施工工艺应便于验收检验，隐蔽工程应在工程实施各阶段予以介入管控并落实相应技术要求</w:t>
      </w:r>
      <w:r>
        <w:rPr>
          <w:rFonts w:hint="eastAsia"/>
          <w:lang w:eastAsia="zh-CN"/>
        </w:rPr>
        <w:t>、。</w:t>
      </w:r>
    </w:p>
    <w:p w14:paraId="68EB48A8">
      <w:pPr>
        <w:pStyle w:val="166"/>
        <w:rPr>
          <w:rFonts w:hint="eastAsia" w:hAnsi="宋体" w:cs="宋体"/>
        </w:rPr>
      </w:pPr>
      <w:r>
        <w:rPr>
          <w:rFonts w:hint="eastAsia"/>
        </w:rPr>
        <w:t>高标准基本农田中低压配电网建设改造应符合国家有关节能要求，供配电设施的选择应遵循资产全寿命周期管理理念，坚持经济实用、长效节能的原则，采用技术成熟、少（免）维护、节能环保、具备可扩展功能、抗震性能好的设备。入网的设备及材料均应符合国家、行业和企业标准的规定并抽检合格</w:t>
      </w:r>
      <w:r>
        <w:rPr>
          <w:rFonts w:hint="eastAsia"/>
          <w:lang w:eastAsia="zh-CN"/>
        </w:rPr>
        <w:t>。</w:t>
      </w:r>
    </w:p>
    <w:p w14:paraId="131BB37C">
      <w:pPr>
        <w:pStyle w:val="166"/>
        <w:rPr>
          <w:rFonts w:hint="eastAsia" w:hAnsi="宋体" w:cs="宋体"/>
        </w:rPr>
      </w:pPr>
      <w:r>
        <w:rPr>
          <w:rFonts w:hint="eastAsia"/>
          <w:lang w:eastAsia="zh-CN"/>
        </w:rPr>
        <w:t>高标准基本农田中低压配电网</w:t>
      </w:r>
      <w:r>
        <w:rPr>
          <w:rFonts w:hint="eastAsia"/>
        </w:rPr>
        <w:t>建设改造应与环境相协调，布置科学合理、设施美观耐用，符合环保要求。可结合地区环境整治、景观需求，因地制宜采用适宜建设型式</w:t>
      </w:r>
      <w:r>
        <w:rPr>
          <w:rFonts w:hint="eastAsia"/>
          <w:lang w:eastAsia="zh-CN"/>
        </w:rPr>
        <w:t>。</w:t>
      </w:r>
    </w:p>
    <w:p w14:paraId="0B7911FC">
      <w:pPr>
        <w:pStyle w:val="166"/>
        <w:rPr>
          <w:rFonts w:hint="eastAsia" w:hAnsi="宋体" w:cs="宋体"/>
        </w:rPr>
      </w:pPr>
      <w:r>
        <w:rPr>
          <w:rFonts w:hint="eastAsia"/>
          <w:lang w:eastAsia="zh-CN"/>
        </w:rPr>
        <w:t>高标准基本农田中低压配电网</w:t>
      </w:r>
      <w:r>
        <w:rPr>
          <w:rFonts w:hint="eastAsia"/>
        </w:rPr>
        <w:t>建设改造应适应智能化发展趋势，宜同步推进配电自动化、智能配电台区、乡村用电信息采集建设，满足分布式电源以及电动汽车、储能装置、电供暖等新型负荷的接入需求，促进能源新业务、新业态、新模式发展</w:t>
      </w:r>
      <w:r>
        <w:rPr>
          <w:rFonts w:hint="eastAsia"/>
          <w:lang w:eastAsia="zh-CN"/>
        </w:rPr>
        <w:t>。</w:t>
      </w:r>
    </w:p>
    <w:p w14:paraId="1DF13F77">
      <w:pPr>
        <w:pStyle w:val="166"/>
        <w:rPr>
          <w:rFonts w:hint="eastAsia" w:hAnsi="宋体" w:cs="宋体"/>
        </w:rPr>
      </w:pPr>
      <w:r>
        <w:rPr>
          <w:rFonts w:hint="eastAsia"/>
          <w:lang w:eastAsia="zh-CN"/>
        </w:rPr>
        <w:t>高标准基本农田中低压配电网</w:t>
      </w:r>
      <w:r>
        <w:rPr>
          <w:rFonts w:hint="eastAsia"/>
        </w:rPr>
        <w:t>宜顺应村庄发展规律和演变趋势，结合不同村庄的发展现状、区位条 件、资源禀赋等，按照“因地制宜、差异建设、重点突出、优化布局”的原则，分类推进乡村电力基础设施建设改造</w:t>
      </w:r>
      <w:r>
        <w:rPr>
          <w:rFonts w:hint="eastAsia"/>
          <w:lang w:eastAsia="zh-CN"/>
        </w:rPr>
        <w:t>。</w:t>
      </w:r>
    </w:p>
    <w:p w14:paraId="165ADB2F">
      <w:pPr>
        <w:pStyle w:val="166"/>
      </w:pPr>
      <w:r>
        <w:rPr>
          <w:rFonts w:hint="eastAsia"/>
          <w:lang w:eastAsia="zh-CN"/>
        </w:rPr>
        <w:t>高标准基本农田中低压配电网</w:t>
      </w:r>
      <w:r>
        <w:rPr>
          <w:rFonts w:hint="eastAsia"/>
        </w:rPr>
        <w:t>建设改造应满足综合防灾抗灾需求，科学评估规划区域灾害分布及类型特点，合理划定灾害多发区域供电保障范围，在技术经济合理的前提下，对自然灾害频发区域尽量采取避让措施，对确无法避让区域采用适度提高设计标准、加强运维保障及应用新技术、完善灾害预警监测手段等措施</w:t>
      </w:r>
      <w:r>
        <w:rPr>
          <w:rFonts w:hint="eastAsia"/>
          <w:lang w:eastAsia="zh-CN"/>
        </w:rPr>
        <w:t>。</w:t>
      </w:r>
    </w:p>
    <w:p w14:paraId="2BA93683">
      <w:pPr>
        <w:pStyle w:val="105"/>
        <w:spacing w:before="240" w:after="240"/>
      </w:pPr>
      <w:r>
        <w:rPr>
          <w:rFonts w:hint="eastAsia"/>
          <w:lang w:val="en-US" w:eastAsia="zh-CN"/>
        </w:rPr>
        <w:t>负荷预测</w:t>
      </w:r>
    </w:p>
    <w:p w14:paraId="53468B10">
      <w:pPr>
        <w:pStyle w:val="106"/>
        <w:spacing w:before="120" w:after="120"/>
      </w:pPr>
      <w:r>
        <w:rPr>
          <w:rFonts w:hint="eastAsia"/>
          <w:lang w:val="en-US" w:eastAsia="zh-CN"/>
        </w:rPr>
        <w:t>一般规定</w:t>
      </w:r>
    </w:p>
    <w:p w14:paraId="1F9881E3">
      <w:pPr>
        <w:pStyle w:val="166"/>
        <w:rPr>
          <w:rFonts w:hint="eastAsia" w:hAnsi="宋体" w:cs="宋体"/>
        </w:rPr>
      </w:pPr>
      <w:r>
        <w:rPr>
          <w:rFonts w:hint="eastAsia" w:hAnsi="宋体" w:cs="宋体"/>
          <w:spacing w:val="2"/>
        </w:rPr>
        <w:t>负荷预测包括电量需求预测和电力需</w:t>
      </w:r>
      <w:r>
        <w:rPr>
          <w:rFonts w:hint="eastAsia" w:hAnsi="宋体" w:cs="宋体"/>
          <w:spacing w:val="1"/>
        </w:rPr>
        <w:t>求预测，以及</w:t>
      </w:r>
      <w:r>
        <w:rPr>
          <w:rFonts w:hint="eastAsia" w:hAnsi="宋体" w:cs="宋体"/>
          <w:spacing w:val="1"/>
          <w:lang w:val="en-US" w:eastAsia="zh-CN"/>
        </w:rPr>
        <w:t>高标准基本农田周边</w:t>
      </w:r>
      <w:r>
        <w:rPr>
          <w:rFonts w:hint="eastAsia" w:hAnsi="宋体" w:cs="宋体"/>
          <w:spacing w:val="1"/>
        </w:rPr>
        <w:t>区域内各类分布式电源和储能</w:t>
      </w:r>
      <w:r>
        <w:rPr>
          <w:rFonts w:hint="eastAsia" w:hAnsi="宋体" w:cs="宋体"/>
          <w:spacing w:val="-1"/>
        </w:rPr>
        <w:t>设施、充换电设施等新型负荷的发展预测</w:t>
      </w:r>
      <w:r>
        <w:rPr>
          <w:rFonts w:hint="eastAsia" w:hAnsi="宋体" w:cs="宋体"/>
          <w:spacing w:val="-1"/>
          <w:lang w:eastAsia="zh-CN"/>
        </w:rPr>
        <w:t>。</w:t>
      </w:r>
    </w:p>
    <w:p w14:paraId="2AFBBB46">
      <w:pPr>
        <w:pStyle w:val="166"/>
        <w:rPr>
          <w:rFonts w:hint="eastAsia" w:hAnsi="宋体" w:cs="宋体"/>
        </w:rPr>
      </w:pPr>
      <w:r>
        <w:rPr>
          <w:rFonts w:hint="eastAsia" w:hAnsi="宋体" w:cs="宋体"/>
        </w:rPr>
        <w:t>负荷预测的基础数据包括经济社会发展规划和国土空间规划数据、自然气候数据、乡村产业政策、重大项目建设情况、人口流动趋势、上级电网规划对本规划区域的负荷预测结果、历史年负荷和电量数据等</w:t>
      </w:r>
      <w:r>
        <w:rPr>
          <w:rFonts w:hint="eastAsia" w:hAnsi="宋体" w:cs="宋体"/>
          <w:lang w:eastAsia="zh-CN"/>
        </w:rPr>
        <w:t>。</w:t>
      </w:r>
    </w:p>
    <w:p w14:paraId="3E812077">
      <w:pPr>
        <w:pStyle w:val="166"/>
        <w:rPr>
          <w:rFonts w:hint="eastAsia" w:hAnsi="宋体" w:cs="宋体"/>
        </w:rPr>
      </w:pPr>
      <w:r>
        <w:rPr>
          <w:rFonts w:hint="eastAsia" w:hAnsi="宋体" w:cs="宋体"/>
        </w:rPr>
        <w:t>负荷预测应分析综合能源系统耦合互补特性、需求响应引起的用户终端用电方式变化和负荷特性变化，并考虑各类分布式电源以及储能设施、电动汽车充换电设施等新型 负荷接入对预测结果的影响</w:t>
      </w:r>
      <w:r>
        <w:rPr>
          <w:rFonts w:hint="eastAsia" w:hAnsi="宋体" w:cs="宋体"/>
          <w:lang w:eastAsia="zh-CN"/>
        </w:rPr>
        <w:t>。</w:t>
      </w:r>
    </w:p>
    <w:p w14:paraId="1C67ED2F">
      <w:pPr>
        <w:pStyle w:val="106"/>
        <w:spacing w:before="120" w:after="120"/>
        <w:ind w:left="0" w:leftChars="0" w:firstLine="0" w:firstLineChars="0"/>
        <w:rPr>
          <w:rFonts w:hint="eastAsia"/>
        </w:rPr>
      </w:pPr>
      <w:r>
        <w:rPr>
          <w:rFonts w:hint="eastAsia"/>
          <w:lang w:val="en-US" w:eastAsia="zh-CN"/>
        </w:rPr>
        <w:t>负荷预测方法</w:t>
      </w:r>
    </w:p>
    <w:p w14:paraId="4C93925F">
      <w:pPr>
        <w:pStyle w:val="166"/>
        <w:keepNext w:val="0"/>
        <w:keepLines w:val="0"/>
        <w:widowControl/>
        <w:suppressLineNumbers w:val="0"/>
        <w:jc w:val="left"/>
        <w:rPr>
          <w:rFonts w:hint="eastAsia"/>
          <w:lang w:bidi="ar"/>
        </w:rPr>
      </w:pPr>
      <w:r>
        <w:rPr>
          <w:rFonts w:hint="eastAsia"/>
          <w:color w:val="000000"/>
          <w:lang w:bidi="ar"/>
        </w:rPr>
        <w:t>负荷预测流程通常包括基础数据收集、基础数据处理、负荷特性分析、电量及电 力负荷预测、负荷预测结果校核</w:t>
      </w:r>
      <w:r>
        <w:rPr>
          <w:rFonts w:hint="eastAsia" w:cs="Times New Roman"/>
          <w:color w:val="000000"/>
          <w:kern w:val="0"/>
          <w:sz w:val="21"/>
          <w:szCs w:val="20"/>
          <w:lang w:val="en-US" w:eastAsia="zh-CN" w:bidi="ar"/>
        </w:rPr>
        <w:t>。</w:t>
      </w:r>
    </w:p>
    <w:p w14:paraId="08F2356C">
      <w:pPr>
        <w:pStyle w:val="166"/>
        <w:widowControl/>
        <w:jc w:val="left"/>
      </w:pPr>
      <w:r>
        <w:rPr>
          <w:rFonts w:hint="eastAsia"/>
          <w:color w:val="000000"/>
          <w:lang w:eastAsia="zh-CN" w:bidi="ar"/>
        </w:rPr>
        <w:t>高标准基本农田中低压配电网</w:t>
      </w:r>
      <w:r>
        <w:rPr>
          <w:rFonts w:hint="eastAsia"/>
          <w:color w:val="000000"/>
          <w:lang w:bidi="ar"/>
        </w:rPr>
        <w:t>负荷预测的常用方法有：趋势外推法、产值单耗法、人均电量法；对于新增大用户负荷比重较大的地区，可采用点负荷增长与区域负荷自然增长相结合的方法进行预测</w:t>
      </w:r>
      <w:r>
        <w:rPr>
          <w:rFonts w:hint="eastAsia"/>
          <w:color w:val="000000"/>
          <w:lang w:eastAsia="zh-CN" w:bidi="ar"/>
        </w:rPr>
        <w:t>。</w:t>
      </w:r>
      <w:r>
        <w:rPr>
          <w:rFonts w:hint="eastAsia" w:cs="Times New Roman"/>
          <w:kern w:val="0"/>
          <w:sz w:val="21"/>
          <w:szCs w:val="20"/>
          <w:lang w:val="en-US" w:eastAsia="zh-CN" w:bidi="ar"/>
        </w:rPr>
        <w:t>。</w:t>
      </w:r>
    </w:p>
    <w:p w14:paraId="3B201117">
      <w:pPr>
        <w:pStyle w:val="166"/>
      </w:pPr>
      <w:r>
        <w:rPr>
          <w:rFonts w:hint="eastAsia"/>
        </w:rPr>
        <w:t>负荷预测应结合负荷特性分析给出电量和负荷的总量及分区预测结果。负荷预测应采用多种方法，经综合分析后给出高、中、低负荷预测方案，并提出推荐方案。</w:t>
      </w:r>
    </w:p>
    <w:p w14:paraId="5A951436">
      <w:pPr>
        <w:pStyle w:val="166"/>
      </w:pPr>
      <w:r>
        <w:rPr>
          <w:rFonts w:hint="eastAsia"/>
        </w:rPr>
        <w:t>10kV网供负荷预测可根据全社会最大负荷、直供用户负荷、自发自用负荷、上级变电站直降负荷、下级电网接入电源的出力、厂用电和网损、同时率等因素综合计算得到。</w:t>
      </w:r>
    </w:p>
    <w:p w14:paraId="2925DA1C">
      <w:pPr>
        <w:pStyle w:val="166"/>
      </w:pPr>
      <w:r>
        <w:rPr>
          <w:rFonts w:hint="eastAsia"/>
        </w:rPr>
        <w:t>负荷预测可根据规划区负荷预测的数据基础和实际需要，综合选用三种及以上适 宜的方法进行预测，并相互校核。</w:t>
      </w:r>
    </w:p>
    <w:p w14:paraId="18D104B7">
      <w:pPr>
        <w:pStyle w:val="166"/>
      </w:pPr>
      <w:r>
        <w:rPr>
          <w:rFonts w:hint="eastAsia"/>
          <w:lang w:val="en-US" w:eastAsia="zh-CN"/>
        </w:rPr>
        <w:t>高标准基本农田周边</w:t>
      </w:r>
      <w:r>
        <w:rPr>
          <w:rFonts w:hint="eastAsia"/>
        </w:rPr>
        <w:t xml:space="preserve">村庄配套公建或工商业用户用电标准应参照实际设备容量选取。在设备容量未定 或村庄起步建设阶段，用电标准可参照表 </w:t>
      </w:r>
      <w:r>
        <w:rPr>
          <w:rFonts w:hint="eastAsia"/>
          <w:lang w:val="en-US" w:eastAsia="zh-CN"/>
        </w:rPr>
        <w:t>5</w:t>
      </w:r>
      <w:r>
        <w:rPr>
          <w:rFonts w:hint="eastAsia"/>
        </w:rPr>
        <w:t>.1 选取。</w:t>
      </w:r>
    </w:p>
    <w:p w14:paraId="05CCE7CD">
      <w:pPr>
        <w:pStyle w:val="14"/>
        <w:spacing w:before="65" w:line="227" w:lineRule="auto"/>
        <w:ind w:left="1710"/>
        <w:rPr>
          <w:sz w:val="20"/>
          <w:szCs w:val="20"/>
        </w:rPr>
      </w:pPr>
      <w:r>
        <w:rPr>
          <w:b/>
          <w:bCs/>
          <w:spacing w:val="8"/>
          <w:sz w:val="20"/>
          <w:szCs w:val="20"/>
        </w:rPr>
        <w:t>表</w:t>
      </w:r>
      <w:r>
        <w:rPr>
          <w:spacing w:val="-40"/>
          <w:sz w:val="20"/>
          <w:szCs w:val="20"/>
        </w:rPr>
        <w:t xml:space="preserve"> </w:t>
      </w:r>
      <w:r>
        <w:rPr>
          <w:rFonts w:hint="eastAsia" w:ascii="Times New Roman" w:hAnsi="Times New Roman" w:cs="Times New Roman"/>
          <w:b/>
          <w:bCs/>
          <w:spacing w:val="8"/>
          <w:sz w:val="20"/>
          <w:szCs w:val="20"/>
          <w:lang w:val="en-US" w:eastAsia="zh-CN"/>
        </w:rPr>
        <w:t>5</w:t>
      </w:r>
      <w:r>
        <w:rPr>
          <w:rFonts w:ascii="Times New Roman" w:hAnsi="Times New Roman" w:eastAsia="Times New Roman" w:cs="Times New Roman"/>
          <w:b/>
          <w:bCs/>
          <w:spacing w:val="8"/>
          <w:sz w:val="20"/>
          <w:szCs w:val="20"/>
        </w:rPr>
        <w:t>.1</w:t>
      </w:r>
      <w:r>
        <w:rPr>
          <w:rFonts w:ascii="Times New Roman" w:hAnsi="Times New Roman" w:eastAsia="Times New Roman" w:cs="Times New Roman"/>
          <w:b/>
          <w:bCs/>
          <w:spacing w:val="16"/>
          <w:w w:val="101"/>
          <w:sz w:val="20"/>
          <w:szCs w:val="20"/>
        </w:rPr>
        <w:t xml:space="preserve"> </w:t>
      </w:r>
      <w:r>
        <w:rPr>
          <w:rFonts w:hint="default" w:ascii="Calibri" w:hAnsi="Calibri" w:eastAsia="宋体" w:cs="Times New Roman"/>
          <w:b w:val="0"/>
          <w:bCs w:val="0"/>
          <w:spacing w:val="8"/>
          <w:w w:val="100"/>
          <w:sz w:val="20"/>
          <w:szCs w:val="20"/>
        </w:rPr>
        <w:t>高标准基本农田</w:t>
      </w:r>
      <w:r>
        <w:rPr>
          <w:spacing w:val="8"/>
          <w:sz w:val="20"/>
          <w:szCs w:val="20"/>
        </w:rPr>
        <w:t>村庄配套设施及工商业参考用电指标</w:t>
      </w:r>
      <w:r>
        <w:rPr>
          <w:spacing w:val="7"/>
          <w:sz w:val="20"/>
          <w:szCs w:val="20"/>
        </w:rPr>
        <w:t xml:space="preserve">  单位：</w:t>
      </w:r>
      <w:r>
        <w:rPr>
          <w:rFonts w:ascii="Times New Roman" w:hAnsi="Times New Roman" w:eastAsia="Times New Roman" w:cs="Times New Roman"/>
          <w:spacing w:val="7"/>
          <w:sz w:val="20"/>
          <w:szCs w:val="20"/>
        </w:rPr>
        <w:t>W/m</w:t>
      </w:r>
      <w:r>
        <w:rPr>
          <w:spacing w:val="7"/>
          <w:sz w:val="20"/>
          <w:szCs w:val="20"/>
        </w:rPr>
        <w:t>²</w:t>
      </w:r>
    </w:p>
    <w:p w14:paraId="7F60EC67">
      <w:pPr>
        <w:spacing w:line="172" w:lineRule="exact"/>
      </w:pPr>
    </w:p>
    <w:tbl>
      <w:tblPr>
        <w:tblStyle w:val="231"/>
        <w:tblW w:w="8526" w:type="dxa"/>
        <w:tblInd w:w="4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8"/>
        <w:gridCol w:w="2514"/>
        <w:gridCol w:w="1983"/>
        <w:gridCol w:w="993"/>
        <w:gridCol w:w="1328"/>
      </w:tblGrid>
      <w:tr w14:paraId="7C426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708" w:type="dxa"/>
            <w:vAlign w:val="top"/>
          </w:tcPr>
          <w:p w14:paraId="1DDE2398">
            <w:pPr>
              <w:spacing w:before="123" w:line="219" w:lineRule="auto"/>
              <w:ind w:left="500"/>
              <w:rPr>
                <w:rFonts w:ascii="宋体" w:hAnsi="宋体" w:eastAsia="宋体" w:cs="宋体"/>
                <w:sz w:val="18"/>
                <w:szCs w:val="18"/>
              </w:rPr>
            </w:pPr>
            <w:r>
              <w:rPr>
                <w:rFonts w:ascii="宋体" w:hAnsi="宋体" w:eastAsia="宋体" w:cs="宋体"/>
                <w:spacing w:val="-3"/>
                <w:sz w:val="18"/>
                <w:szCs w:val="18"/>
              </w:rPr>
              <w:t>建筑类别</w:t>
            </w:r>
          </w:p>
        </w:tc>
        <w:tc>
          <w:tcPr>
            <w:tcW w:w="2514" w:type="dxa"/>
            <w:vAlign w:val="top"/>
          </w:tcPr>
          <w:p w14:paraId="5ABF199A">
            <w:pPr>
              <w:spacing w:before="123" w:line="219" w:lineRule="auto"/>
              <w:ind w:left="274"/>
              <w:rPr>
                <w:rFonts w:ascii="宋体" w:hAnsi="宋体" w:eastAsia="宋体" w:cs="宋体"/>
                <w:sz w:val="18"/>
                <w:szCs w:val="18"/>
              </w:rPr>
            </w:pPr>
            <w:r>
              <w:rPr>
                <w:rFonts w:ascii="宋体" w:hAnsi="宋体" w:eastAsia="宋体" w:cs="宋体"/>
                <w:spacing w:val="-1"/>
                <w:sz w:val="18"/>
                <w:szCs w:val="18"/>
              </w:rPr>
              <w:t>办公、宾馆、饭店、商业</w:t>
            </w:r>
          </w:p>
        </w:tc>
        <w:tc>
          <w:tcPr>
            <w:tcW w:w="1983" w:type="dxa"/>
            <w:vAlign w:val="top"/>
          </w:tcPr>
          <w:p w14:paraId="09A83560">
            <w:pPr>
              <w:spacing w:before="123" w:line="219" w:lineRule="auto"/>
              <w:ind w:left="294"/>
              <w:rPr>
                <w:rFonts w:ascii="宋体" w:hAnsi="宋体" w:eastAsia="宋体" w:cs="宋体"/>
                <w:sz w:val="18"/>
                <w:szCs w:val="18"/>
              </w:rPr>
            </w:pPr>
            <w:r>
              <w:rPr>
                <w:rFonts w:ascii="宋体" w:hAnsi="宋体" w:eastAsia="宋体" w:cs="宋体"/>
                <w:spacing w:val="-3"/>
                <w:sz w:val="18"/>
                <w:szCs w:val="18"/>
              </w:rPr>
              <w:t>中小学校、幼儿园</w:t>
            </w:r>
          </w:p>
        </w:tc>
        <w:tc>
          <w:tcPr>
            <w:tcW w:w="993" w:type="dxa"/>
            <w:vAlign w:val="top"/>
          </w:tcPr>
          <w:p w14:paraId="652A8D9A">
            <w:pPr>
              <w:spacing w:before="123" w:line="227" w:lineRule="auto"/>
              <w:ind w:left="234"/>
              <w:rPr>
                <w:rFonts w:ascii="宋体" w:hAnsi="宋体" w:eastAsia="宋体" w:cs="宋体"/>
                <w:sz w:val="18"/>
                <w:szCs w:val="18"/>
              </w:rPr>
            </w:pPr>
            <w:r>
              <w:rPr>
                <w:rFonts w:ascii="宋体" w:hAnsi="宋体" w:eastAsia="宋体" w:cs="宋体"/>
                <w:spacing w:val="-3"/>
                <w:sz w:val="18"/>
                <w:szCs w:val="18"/>
              </w:rPr>
              <w:t>卫生室</w:t>
            </w:r>
          </w:p>
        </w:tc>
        <w:tc>
          <w:tcPr>
            <w:tcW w:w="1328" w:type="dxa"/>
            <w:vAlign w:val="top"/>
          </w:tcPr>
          <w:p w14:paraId="47122F84">
            <w:pPr>
              <w:spacing w:before="123" w:line="219" w:lineRule="auto"/>
              <w:ind w:left="489"/>
              <w:rPr>
                <w:rFonts w:ascii="宋体" w:hAnsi="宋体" w:eastAsia="宋体" w:cs="宋体"/>
                <w:sz w:val="18"/>
                <w:szCs w:val="18"/>
              </w:rPr>
            </w:pPr>
            <w:r>
              <w:rPr>
                <w:rFonts w:ascii="宋体" w:hAnsi="宋体" w:eastAsia="宋体" w:cs="宋体"/>
                <w:spacing w:val="-4"/>
                <w:sz w:val="18"/>
                <w:szCs w:val="18"/>
              </w:rPr>
              <w:t>动力</w:t>
            </w:r>
          </w:p>
        </w:tc>
      </w:tr>
      <w:tr w14:paraId="5AFBE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708" w:type="dxa"/>
            <w:vAlign w:val="top"/>
          </w:tcPr>
          <w:p w14:paraId="43414C28">
            <w:pPr>
              <w:spacing w:before="124" w:line="220" w:lineRule="auto"/>
              <w:ind w:left="499" w:leftChars="0"/>
              <w:rPr>
                <w:rFonts w:ascii="宋体" w:hAnsi="宋体" w:eastAsia="宋体" w:cs="宋体"/>
                <w:spacing w:val="-3"/>
                <w:sz w:val="18"/>
                <w:szCs w:val="18"/>
              </w:rPr>
            </w:pPr>
            <w:r>
              <w:rPr>
                <w:rFonts w:ascii="宋体" w:hAnsi="宋体" w:eastAsia="宋体" w:cs="宋体"/>
                <w:spacing w:val="-3"/>
                <w:sz w:val="18"/>
                <w:szCs w:val="18"/>
              </w:rPr>
              <w:t>用电指标</w:t>
            </w:r>
          </w:p>
        </w:tc>
        <w:tc>
          <w:tcPr>
            <w:tcW w:w="2514" w:type="dxa"/>
            <w:vAlign w:val="top"/>
          </w:tcPr>
          <w:p w14:paraId="3F3B4970">
            <w:pPr>
              <w:spacing w:before="153" w:line="188" w:lineRule="auto"/>
              <w:ind w:left="986" w:leftChars="0"/>
              <w:rPr>
                <w:rFonts w:ascii="宋体" w:hAnsi="宋体" w:eastAsia="宋体" w:cs="宋体"/>
                <w:spacing w:val="-1"/>
                <w:sz w:val="18"/>
                <w:szCs w:val="18"/>
              </w:rPr>
            </w:pPr>
            <w:r>
              <w:rPr>
                <w:rFonts w:ascii="Times New Roman" w:hAnsi="Times New Roman" w:eastAsia="Times New Roman" w:cs="Times New Roman"/>
                <w:spacing w:val="-5"/>
                <w:sz w:val="18"/>
                <w:szCs w:val="18"/>
              </w:rPr>
              <w:t>30~</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5"/>
                <w:sz w:val="18"/>
                <w:szCs w:val="18"/>
              </w:rPr>
              <w:t>100</w:t>
            </w:r>
          </w:p>
        </w:tc>
        <w:tc>
          <w:tcPr>
            <w:tcW w:w="1983" w:type="dxa"/>
            <w:vAlign w:val="top"/>
          </w:tcPr>
          <w:p w14:paraId="03F62D1F">
            <w:pPr>
              <w:spacing w:before="153" w:line="188" w:lineRule="auto"/>
              <w:ind w:left="767" w:leftChars="0"/>
              <w:rPr>
                <w:rFonts w:ascii="宋体" w:hAnsi="宋体" w:eastAsia="宋体" w:cs="宋体"/>
                <w:spacing w:val="-3"/>
                <w:sz w:val="18"/>
                <w:szCs w:val="18"/>
              </w:rPr>
            </w:pPr>
            <w:r>
              <w:rPr>
                <w:rFonts w:ascii="Times New Roman" w:hAnsi="Times New Roman" w:eastAsia="Times New Roman" w:cs="Times New Roman"/>
                <w:spacing w:val="-2"/>
                <w:sz w:val="18"/>
                <w:szCs w:val="18"/>
              </w:rPr>
              <w:t>30~50</w:t>
            </w:r>
          </w:p>
        </w:tc>
        <w:tc>
          <w:tcPr>
            <w:tcW w:w="993" w:type="dxa"/>
            <w:vAlign w:val="top"/>
          </w:tcPr>
          <w:p w14:paraId="41B375FF">
            <w:pPr>
              <w:spacing w:before="153" w:line="188" w:lineRule="auto"/>
              <w:ind w:left="274" w:leftChars="0"/>
              <w:rPr>
                <w:rFonts w:ascii="宋体" w:hAnsi="宋体" w:eastAsia="宋体" w:cs="宋体"/>
                <w:spacing w:val="-3"/>
                <w:sz w:val="18"/>
                <w:szCs w:val="18"/>
              </w:rPr>
            </w:pPr>
            <w:r>
              <w:rPr>
                <w:rFonts w:ascii="Times New Roman" w:hAnsi="Times New Roman" w:eastAsia="Times New Roman" w:cs="Times New Roman"/>
                <w:spacing w:val="-2"/>
                <w:sz w:val="18"/>
                <w:szCs w:val="18"/>
              </w:rPr>
              <w:t>30~50</w:t>
            </w:r>
          </w:p>
        </w:tc>
        <w:tc>
          <w:tcPr>
            <w:tcW w:w="1328" w:type="dxa"/>
            <w:vAlign w:val="top"/>
          </w:tcPr>
          <w:p w14:paraId="08019ED3">
            <w:pPr>
              <w:spacing w:before="124" w:line="219" w:lineRule="auto"/>
              <w:ind w:left="487" w:leftChars="0"/>
              <w:rPr>
                <w:rFonts w:ascii="宋体" w:hAnsi="宋体" w:eastAsia="宋体" w:cs="宋体"/>
                <w:spacing w:val="-4"/>
                <w:sz w:val="18"/>
                <w:szCs w:val="18"/>
              </w:rPr>
            </w:pPr>
            <w:r>
              <w:rPr>
                <w:rFonts w:ascii="宋体" w:hAnsi="宋体" w:eastAsia="宋体" w:cs="宋体"/>
                <w:spacing w:val="-4"/>
                <w:sz w:val="18"/>
                <w:szCs w:val="18"/>
              </w:rPr>
              <w:t>据实</w:t>
            </w:r>
          </w:p>
        </w:tc>
      </w:tr>
      <w:tr w14:paraId="27E7F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8526" w:type="dxa"/>
            <w:gridSpan w:val="5"/>
            <w:vAlign w:val="top"/>
          </w:tcPr>
          <w:p w14:paraId="02A2193B">
            <w:pPr>
              <w:spacing w:before="123" w:line="219" w:lineRule="auto"/>
              <w:ind w:left="489"/>
              <w:rPr>
                <w:rFonts w:ascii="宋体" w:hAnsi="宋体" w:eastAsia="宋体" w:cs="宋体"/>
                <w:spacing w:val="-4"/>
                <w:sz w:val="18"/>
                <w:szCs w:val="18"/>
              </w:rPr>
            </w:pPr>
            <w:r>
              <w:rPr>
                <w:rFonts w:ascii="宋体" w:hAnsi="宋体" w:eastAsia="宋体" w:cs="宋体"/>
                <w:spacing w:val="-3"/>
                <w:sz w:val="18"/>
                <w:szCs w:val="18"/>
              </w:rPr>
              <w:t>注：在计算配变容量时，用电指标</w:t>
            </w:r>
            <w:r>
              <w:rPr>
                <w:rFonts w:ascii="宋体" w:hAnsi="宋体" w:eastAsia="宋体" w:cs="宋体"/>
                <w:spacing w:val="-19"/>
                <w:sz w:val="18"/>
                <w:szCs w:val="18"/>
              </w:rPr>
              <w:t xml:space="preserve"> </w:t>
            </w:r>
            <w:r>
              <w:rPr>
                <w:rFonts w:ascii="Times New Roman" w:hAnsi="Times New Roman" w:eastAsia="Times New Roman" w:cs="Times New Roman"/>
                <w:spacing w:val="-3"/>
                <w:sz w:val="18"/>
                <w:szCs w:val="18"/>
              </w:rPr>
              <w:t>1W=</w:t>
            </w:r>
            <w:r>
              <w:rPr>
                <w:rFonts w:ascii="宋体" w:hAnsi="宋体" w:eastAsia="宋体" w:cs="宋体"/>
                <w:spacing w:val="-3"/>
                <w:sz w:val="18"/>
                <w:szCs w:val="18"/>
              </w:rPr>
              <w:t>配变容量</w:t>
            </w:r>
            <w:r>
              <w:rPr>
                <w:rFonts w:ascii="宋体" w:hAnsi="宋体" w:eastAsia="宋体" w:cs="宋体"/>
                <w:spacing w:val="-23"/>
                <w:sz w:val="18"/>
                <w:szCs w:val="18"/>
              </w:rPr>
              <w:t xml:space="preserve"> </w:t>
            </w:r>
            <w:r>
              <w:rPr>
                <w:rFonts w:ascii="Times New Roman" w:hAnsi="Times New Roman" w:eastAsia="Times New Roman" w:cs="Times New Roman"/>
                <w:spacing w:val="-3"/>
                <w:sz w:val="18"/>
                <w:szCs w:val="18"/>
              </w:rPr>
              <w:t>1VA</w:t>
            </w:r>
            <w:r>
              <w:rPr>
                <w:rFonts w:ascii="Times New Roman" w:hAnsi="Times New Roman" w:eastAsia="Times New Roman" w:cs="Times New Roman"/>
                <w:spacing w:val="-26"/>
                <w:sz w:val="18"/>
                <w:szCs w:val="18"/>
              </w:rPr>
              <w:t xml:space="preserve"> </w:t>
            </w:r>
            <w:r>
              <w:rPr>
                <w:rFonts w:ascii="宋体" w:hAnsi="宋体" w:eastAsia="宋体" w:cs="宋体"/>
                <w:spacing w:val="-3"/>
                <w:sz w:val="18"/>
                <w:szCs w:val="18"/>
              </w:rPr>
              <w:t>，不计功率因数。大的炒茶机负荷、农家乐负荷等，</w:t>
            </w:r>
            <w:r>
              <w:rPr>
                <w:rFonts w:ascii="宋体" w:hAnsi="宋体" w:eastAsia="宋体" w:cs="宋体"/>
                <w:sz w:val="18"/>
                <w:szCs w:val="18"/>
              </w:rPr>
              <w:t xml:space="preserve"> </w:t>
            </w:r>
            <w:r>
              <w:rPr>
                <w:rFonts w:ascii="宋体" w:hAnsi="宋体" w:eastAsia="宋体" w:cs="宋体"/>
                <w:spacing w:val="-2"/>
                <w:sz w:val="18"/>
                <w:szCs w:val="18"/>
              </w:rPr>
              <w:t>以其报装时提出的实际动力电报装水平为准。</w:t>
            </w:r>
          </w:p>
        </w:tc>
      </w:tr>
    </w:tbl>
    <w:p w14:paraId="7BBF2505">
      <w:pPr>
        <w:pStyle w:val="105"/>
        <w:spacing w:before="240" w:after="240"/>
      </w:pPr>
      <w:r>
        <w:rPr>
          <w:rFonts w:hint="eastAsia"/>
        </w:rPr>
        <w:t>电网</w:t>
      </w:r>
      <w:r>
        <w:rPr>
          <w:rFonts w:hint="eastAsia"/>
          <w:lang w:val="en-US" w:eastAsia="zh-CN"/>
        </w:rPr>
        <w:t>结构</w:t>
      </w:r>
    </w:p>
    <w:p w14:paraId="76F0FB3D">
      <w:pPr>
        <w:pStyle w:val="106"/>
        <w:spacing w:before="120" w:after="120"/>
      </w:pPr>
      <w:r>
        <w:rPr>
          <w:rFonts w:hint="eastAsia"/>
          <w:lang w:val="en-US" w:eastAsia="zh-CN"/>
        </w:rPr>
        <w:t>网架结构</w:t>
      </w:r>
    </w:p>
    <w:p w14:paraId="086A90E1">
      <w:pPr>
        <w:pStyle w:val="166"/>
      </w:pPr>
      <w:r>
        <w:rPr>
          <w:rFonts w:hint="eastAsia" w:ascii="宋体" w:eastAsia="宋体"/>
          <w:szCs w:val="22"/>
          <w:lang w:val="en-US" w:eastAsia="zh-CN"/>
        </w:rPr>
        <w:t>中压配电网应合理布局，原则上应分区分片供电，供电范围不应交叉重叠，接线方式灵活、简洁</w:t>
      </w:r>
      <w:r>
        <w:rPr>
          <w:rFonts w:hint="eastAsia"/>
        </w:rPr>
        <w:t>。</w:t>
      </w:r>
    </w:p>
    <w:p w14:paraId="27E7FBF4">
      <w:pPr>
        <w:pStyle w:val="166"/>
      </w:pPr>
      <w:r>
        <w:rPr>
          <w:rFonts w:hint="eastAsia"/>
        </w:rPr>
        <w:t>中压配电网典型接线方式主要有辐射式、多分段单联络、多分段适度联络 3 种类型。中压配电网线路建设时应根据实际情况选择接线类型</w:t>
      </w:r>
      <w:r>
        <w:rPr>
          <w:rFonts w:hint="eastAsia"/>
          <w:lang w:eastAsia="zh-CN"/>
        </w:rPr>
        <w:t>。</w:t>
      </w:r>
    </w:p>
    <w:p w14:paraId="49A0835C">
      <w:pPr>
        <w:pStyle w:val="166"/>
      </w:pPr>
      <w:r>
        <w:rPr>
          <w:rFonts w:hint="eastAsia"/>
        </w:rPr>
        <w:t>中压配电网接线应确定合理供电距离，乡村中压配电网线路供电距离不宜超过 10 公里，偏远地区、山区可适当放宽，且应满足末端电压质量的要求</w:t>
      </w:r>
      <w:r>
        <w:rPr>
          <w:rFonts w:hint="eastAsia"/>
          <w:lang w:eastAsia="zh-CN"/>
        </w:rPr>
        <w:t>。</w:t>
      </w:r>
    </w:p>
    <w:p w14:paraId="0E430581">
      <w:pPr>
        <w:pStyle w:val="166"/>
      </w:pPr>
      <w:r>
        <w:rPr>
          <w:rFonts w:hint="eastAsia"/>
        </w:rPr>
        <w:t>中压配电网的主干线路可分为 3-5 段，应结合线路负荷分布合理分段，并装设分段开关。分支线路首端宜安装分支开关</w:t>
      </w:r>
      <w:r>
        <w:rPr>
          <w:rFonts w:hint="eastAsia"/>
          <w:lang w:eastAsia="zh-CN"/>
        </w:rPr>
        <w:t>。</w:t>
      </w:r>
    </w:p>
    <w:p w14:paraId="0576A7E5">
      <w:pPr>
        <w:pStyle w:val="166"/>
      </w:pPr>
      <w:r>
        <w:rPr>
          <w:rFonts w:hint="eastAsia"/>
        </w:rPr>
        <w:t>低压配电网实行分区供电，分区不宜跨越铁路、河流，不同分区的低压配电线路不应交叉、重叠。台区低压线路应控制供电线路曲折系数，避免迂回供电</w:t>
      </w:r>
      <w:r>
        <w:rPr>
          <w:rFonts w:hint="eastAsia"/>
          <w:lang w:eastAsia="zh-CN"/>
        </w:rPr>
        <w:t>。</w:t>
      </w:r>
    </w:p>
    <w:p w14:paraId="3D58E8D9">
      <w:pPr>
        <w:pStyle w:val="166"/>
      </w:pPr>
      <w:r>
        <w:rPr>
          <w:rFonts w:hint="eastAsia"/>
        </w:rPr>
        <w:t>低压配电网结构应简单、安全、可靠，宜采用辐射式结构。具备条件时可在负荷峰谷差较大区域适当构建低压联络</w:t>
      </w:r>
      <w:r>
        <w:rPr>
          <w:rFonts w:hint="eastAsia"/>
          <w:lang w:eastAsia="zh-CN"/>
        </w:rPr>
        <w:t>。</w:t>
      </w:r>
    </w:p>
    <w:p w14:paraId="2E1DE64F">
      <w:pPr>
        <w:pStyle w:val="166"/>
      </w:pPr>
      <w:r>
        <w:rPr>
          <w:rFonts w:hint="eastAsia"/>
        </w:rPr>
        <w:t>低压配电网线路供电距离不宜超过 500m。用户分布特别分散的地区供电距离可适当延长，但要对末端电压质量进行校核，380V 三相供电电压偏差为标称电压的±7%，220V 单相供电电压偏差为标称电压的+7%、-10%</w:t>
      </w:r>
      <w:r>
        <w:rPr>
          <w:rFonts w:hint="eastAsia"/>
          <w:lang w:eastAsia="zh-CN"/>
        </w:rPr>
        <w:t>。</w:t>
      </w:r>
    </w:p>
    <w:p w14:paraId="69608127">
      <w:pPr>
        <w:pStyle w:val="106"/>
        <w:spacing w:before="120" w:after="120"/>
      </w:pPr>
      <w:r>
        <w:rPr>
          <w:rFonts w:hint="eastAsia"/>
        </w:rPr>
        <w:t xml:space="preserve">线路选型及廊道选址 </w:t>
      </w:r>
    </w:p>
    <w:p w14:paraId="176C74E1">
      <w:pPr>
        <w:pStyle w:val="166"/>
      </w:pPr>
      <w:r>
        <w:rPr>
          <w:rFonts w:hint="eastAsia"/>
        </w:rPr>
        <w:t>乡村地区中压配电网宜采用架空线路为主，存在下列情况可考虑建设电缆线路联络。</w:t>
      </w:r>
    </w:p>
    <w:p w14:paraId="07E2A7B7">
      <w:pPr>
        <w:pStyle w:val="166"/>
        <w:numPr>
          <w:ilvl w:val="-1"/>
          <w:numId w:val="0"/>
        </w:numPr>
        <w:ind w:leftChars="200" w:firstLineChars="0"/>
        <w:rPr>
          <w:rFonts w:hint="eastAsia"/>
          <w:lang w:eastAsia="zh-CN"/>
        </w:rPr>
      </w:pPr>
      <w:r>
        <w:rPr>
          <w:rFonts w:hint="eastAsia"/>
          <w:lang w:val="en-US" w:eastAsia="zh-CN"/>
        </w:rPr>
        <w:t>1）</w:t>
      </w:r>
      <w:r>
        <w:rPr>
          <w:rFonts w:hint="eastAsia"/>
        </w:rPr>
        <w:t>走廊狭窄，拆迁量巨大，必须采用电缆才能通过的地区</w:t>
      </w:r>
      <w:r>
        <w:rPr>
          <w:rFonts w:hint="eastAsia"/>
          <w:lang w:eastAsia="zh-CN"/>
        </w:rPr>
        <w:t>；</w:t>
      </w:r>
    </w:p>
    <w:p w14:paraId="32FCDB96">
      <w:pPr>
        <w:pStyle w:val="166"/>
        <w:numPr>
          <w:ilvl w:val="-1"/>
          <w:numId w:val="0"/>
        </w:numPr>
        <w:ind w:leftChars="200" w:firstLineChars="0"/>
        <w:rPr>
          <w:rFonts w:hint="default" w:eastAsia="宋体"/>
          <w:lang w:val="en-US" w:eastAsia="zh-CN"/>
        </w:rPr>
      </w:pPr>
      <w:r>
        <w:rPr>
          <w:rFonts w:hint="eastAsia"/>
          <w:lang w:val="en-US" w:eastAsia="zh-CN"/>
        </w:rPr>
        <w:t>2）严重污秽地段，为避免架空线频繁污闪可考虑采用电缆；</w:t>
      </w:r>
    </w:p>
    <w:p w14:paraId="021C58BC">
      <w:pPr>
        <w:pStyle w:val="166"/>
        <w:numPr>
          <w:ilvl w:val="-1"/>
          <w:numId w:val="0"/>
        </w:numPr>
        <w:ind w:leftChars="200" w:firstLineChars="0"/>
        <w:rPr>
          <w:rFonts w:hint="default" w:eastAsia="宋体"/>
          <w:lang w:val="en-US" w:eastAsia="zh-CN"/>
        </w:rPr>
      </w:pPr>
      <w:r>
        <w:rPr>
          <w:rFonts w:hint="eastAsia"/>
          <w:lang w:val="en-US" w:eastAsia="zh-CN"/>
        </w:rPr>
        <w:t>3）</w:t>
      </w:r>
      <w:r>
        <w:rPr>
          <w:rFonts w:hint="eastAsia"/>
        </w:rPr>
        <w:t>按照军事设施、铁路、高速公路等外界条件要求，采用架空线难以通过的地区</w:t>
      </w:r>
      <w:r>
        <w:rPr>
          <w:rFonts w:hint="eastAsia"/>
          <w:lang w:eastAsia="zh-CN"/>
        </w:rPr>
        <w:t>；</w:t>
      </w:r>
    </w:p>
    <w:p w14:paraId="5C5EEF70">
      <w:pPr>
        <w:pStyle w:val="166"/>
        <w:numPr>
          <w:ilvl w:val="-1"/>
          <w:numId w:val="0"/>
        </w:numPr>
        <w:ind w:leftChars="200" w:firstLineChars="0"/>
        <w:rPr>
          <w:rFonts w:hint="default" w:eastAsia="宋体"/>
          <w:lang w:val="en-US" w:eastAsia="zh-CN"/>
        </w:rPr>
      </w:pPr>
      <w:r>
        <w:rPr>
          <w:rFonts w:hint="eastAsia"/>
          <w:lang w:val="en-US" w:eastAsia="zh-CN"/>
        </w:rPr>
        <w:t>4）</w:t>
      </w:r>
      <w:r>
        <w:rPr>
          <w:rFonts w:hint="eastAsia"/>
        </w:rPr>
        <w:t>国家批准的5A级风景区、古村落等风景文化胜地或历史保护区</w:t>
      </w:r>
      <w:r>
        <w:rPr>
          <w:rFonts w:hint="eastAsia"/>
          <w:lang w:eastAsia="zh-CN"/>
        </w:rPr>
        <w:t>。</w:t>
      </w:r>
    </w:p>
    <w:p w14:paraId="7F253DC5">
      <w:pPr>
        <w:pStyle w:val="166"/>
        <w:rPr>
          <w:rFonts w:hint="eastAsia"/>
        </w:rPr>
      </w:pPr>
      <w:r>
        <w:rPr>
          <w:rFonts w:hint="eastAsia"/>
        </w:rPr>
        <w:t>中低压配电网线路宜按照远景年负荷需求一次建成。中压架空导线主干线截面不低于185mm²,分支线截面不低于120mm²;中压电缆线路主干线截面不小于300mm²,分支线 截面不小于185mm²。低压架空导线主干线截面不小于150mm²,低压电缆主干截面不小</w:t>
      </w:r>
      <w:r>
        <w:rPr>
          <w:rFonts w:hint="eastAsia"/>
          <w:lang w:eastAsia="zh-CN"/>
        </w:rPr>
        <w:t>于</w:t>
      </w:r>
      <w:r>
        <w:rPr>
          <w:rFonts w:hint="eastAsia"/>
        </w:rPr>
        <w:t>185mm²</w:t>
      </w:r>
      <w:r>
        <w:rPr>
          <w:rFonts w:hint="eastAsia"/>
          <w:lang w:eastAsia="zh-CN"/>
        </w:rPr>
        <w:t>。</w:t>
      </w:r>
    </w:p>
    <w:p w14:paraId="6F58424F">
      <w:pPr>
        <w:pStyle w:val="166"/>
      </w:pPr>
      <w:r>
        <w:rPr>
          <w:rFonts w:hint="eastAsia"/>
        </w:rPr>
        <w:t>中压架空线路可为铝芯，宜采用架空绝缘线。跨越较大等特殊情况可采用绝缘钢芯铝绞线。电缆线路通常为铜芯，经评估也可采用相同载流量的铝芯电缆。</w:t>
      </w:r>
    </w:p>
    <w:p w14:paraId="1CC74A9D">
      <w:pPr>
        <w:pStyle w:val="166"/>
      </w:pPr>
      <w:r>
        <w:rPr>
          <w:rFonts w:hint="eastAsia"/>
        </w:rPr>
        <w:t>低压架空线路应采用绝缘导线，可与中压配电线路同杆架设。</w:t>
      </w:r>
    </w:p>
    <w:p w14:paraId="2DCB059D">
      <w:pPr>
        <w:pStyle w:val="166"/>
      </w:pPr>
      <w:r>
        <w:rPr>
          <w:rFonts w:hint="eastAsia"/>
        </w:rPr>
        <w:t>既有架空线路入地改造，改造方案必须满足规划目标网架的要求，改造后电网供电能力和功能不应低于原有设计水平。</w:t>
      </w:r>
    </w:p>
    <w:p w14:paraId="5567EB55">
      <w:pPr>
        <w:pStyle w:val="166"/>
      </w:pPr>
      <w:r>
        <w:rPr>
          <w:rFonts w:hint="eastAsia"/>
        </w:rPr>
        <w:t>配变应尽量布置在负荷中心。柱上变压器、箱变、配电房选址应综合考虑线路廊道、交通运输及施工等外部因素。</w:t>
      </w:r>
    </w:p>
    <w:p w14:paraId="42953E8A">
      <w:pPr>
        <w:pStyle w:val="166"/>
      </w:pPr>
      <w:r>
        <w:rPr>
          <w:rFonts w:hint="eastAsia"/>
        </w:rPr>
        <w:t>在保护地区、重点景观环境周围，所建变压器和架空线路宜与周围环境相协调。</w:t>
      </w:r>
    </w:p>
    <w:p w14:paraId="3436D9B4">
      <w:pPr>
        <w:pStyle w:val="166"/>
      </w:pPr>
      <w:r>
        <w:rPr>
          <w:rFonts w:hint="eastAsia"/>
        </w:rPr>
        <w:t>架空线路廊道严禁跨越场院、库房、学校、房屋、草垛等，宜沿着乡村主要道路 架设。</w:t>
      </w:r>
    </w:p>
    <w:p w14:paraId="71299336">
      <w:pPr>
        <w:pStyle w:val="166"/>
      </w:pPr>
      <w:r>
        <w:rPr>
          <w:rFonts w:hint="eastAsia"/>
        </w:rPr>
        <w:t>中压架空线路宜采用单回路或双回路架设，低压架空线路采用单回路架设。电缆线路宜采用排管、沟槽等敷设方式。</w:t>
      </w:r>
    </w:p>
    <w:p w14:paraId="0333EBEC">
      <w:pPr>
        <w:pStyle w:val="166"/>
      </w:pPr>
      <w:r>
        <w:rPr>
          <w:rFonts w:hint="eastAsia"/>
        </w:rPr>
        <w:t>线路路径应充分考虑历年灾害影响、地形地貌及地质情况进行选择，应避开易发生泥石流、滑坡、崩塌、受淹等地质、水文灾害地带；避开相对高耸、突出地貌或山区风道、垭口、抬升气流的迎风坡等微地形区域。当无法避开以上地段时，应采取提高设防标 准等必要的加强措施。</w:t>
      </w:r>
    </w:p>
    <w:p w14:paraId="068377F0">
      <w:pPr>
        <w:pStyle w:val="166"/>
      </w:pPr>
      <w:r>
        <w:rPr>
          <w:rFonts w:hint="eastAsia"/>
        </w:rPr>
        <w:t>强风区中压架空线路应采用差异化设计，提高抗风设防水平。中压主干网架空线 路宜采用单回架设，保证线路之间的安全距离，防止临近线路倒塔影响重要线路安全运行，可根据重要负荷分布、地形等情况，适当减小档距、配置防风拉线、增加分段数量。</w:t>
      </w:r>
    </w:p>
    <w:p w14:paraId="2AF33C05">
      <w:pPr>
        <w:pStyle w:val="166"/>
      </w:pPr>
      <w:r>
        <w:rPr>
          <w:rFonts w:hint="eastAsia"/>
        </w:rPr>
        <w:t>中、重覆冰线路设计应优先采用避冰及抗冰措施。有条件地区经技术经济比较后 可采用融冰及防冰等措施，对设计采用融冰及防冰等措施的线路应合理选择设计冰厚，以便具有一定的抗冰能力。</w:t>
      </w:r>
    </w:p>
    <w:p w14:paraId="42A1BFCC">
      <w:pPr>
        <w:pStyle w:val="106"/>
        <w:spacing w:before="120" w:after="120"/>
      </w:pPr>
      <w:r>
        <w:rPr>
          <w:rFonts w:hint="eastAsia"/>
        </w:rPr>
        <w:t>杆塔选型</w:t>
      </w:r>
    </w:p>
    <w:p w14:paraId="6F11EA13">
      <w:pPr>
        <w:pStyle w:val="166"/>
      </w:pPr>
      <w:r>
        <w:rPr>
          <w:rFonts w:hint="eastAsia"/>
        </w:rPr>
        <w:t>架空线路杆型按照“一杆多头、一杆多用”原则设计，以普通水泥电杆为主，特殊地段可采用钢管杆、加强型水泥杆或轻质绝缘复合电杆；山区、跨越等特殊情况可采用角钢塔。杆头可选用三角形或一字型排列方式。</w:t>
      </w:r>
    </w:p>
    <w:p w14:paraId="54D65150">
      <w:pPr>
        <w:pStyle w:val="166"/>
      </w:pPr>
      <w:r>
        <w:rPr>
          <w:rFonts w:hint="eastAsia"/>
        </w:rPr>
        <w:t>10kV 配电线路水泥杆可选用12m、15m、18m三种规格，钢管杆可采用11m、13m、6m，其中12m水泥杆及11m钢管杆适用于单回路线，15m水泥杆及13m钢管杆适用于单回线路或双回线路。10kV线路档距不宜超过70m。</w:t>
      </w:r>
    </w:p>
    <w:p w14:paraId="1CC02DDF">
      <w:pPr>
        <w:pStyle w:val="166"/>
      </w:pPr>
      <w:r>
        <w:rPr>
          <w:rFonts w:hint="eastAsia"/>
        </w:rPr>
        <w:t>380/220V 低压架空线路宜采用 10m 及以上水泥电杆，线路档距一般为40~50m。</w:t>
      </w:r>
    </w:p>
    <w:p w14:paraId="551E1235">
      <w:pPr>
        <w:pStyle w:val="106"/>
        <w:spacing w:before="120" w:after="120"/>
      </w:pPr>
      <w:r>
        <w:rPr>
          <w:rFonts w:hint="eastAsia"/>
          <w:lang w:eastAsia="zh-CN"/>
        </w:rPr>
        <w:t>配电设备</w:t>
      </w:r>
    </w:p>
    <w:p w14:paraId="3FB3BBF8">
      <w:pPr>
        <w:pStyle w:val="166"/>
      </w:pPr>
      <w:r>
        <w:rPr>
          <w:rFonts w:hint="eastAsia"/>
        </w:rPr>
        <w:t>新建、改造配电变压器应选用低损耗、低噪声的环保节能型全密封变压器，变压器能效等级不低于《电力变压器能效限定值及能效等级》GB 20052中的2级能效标准。</w:t>
      </w:r>
    </w:p>
    <w:p w14:paraId="0BDE52D4">
      <w:pPr>
        <w:pStyle w:val="166"/>
      </w:pPr>
      <w:r>
        <w:rPr>
          <w:rFonts w:hint="eastAsia"/>
        </w:rPr>
        <w:t>新建、改造配变宜选用三相变压器，其绕组联结组别应选用Dyn11，三相宜均衡接入负荷。</w:t>
      </w:r>
    </w:p>
    <w:p w14:paraId="520002BF">
      <w:pPr>
        <w:pStyle w:val="166"/>
      </w:pPr>
      <w:r>
        <w:rPr>
          <w:rFonts w:hint="eastAsia"/>
        </w:rPr>
        <w:t>户均配变容量应分析区域发展水平、居民用电习惯及分布式光伏接入等因素，坚 持可靠性与效率效益相协调，科学选取供电区域建设、改造的配电变压器容量规模</w:t>
      </w:r>
      <w:r>
        <w:rPr>
          <w:rFonts w:hint="eastAsia"/>
          <w:lang w:eastAsia="zh-CN"/>
        </w:rPr>
        <w:t>。</w:t>
      </w:r>
    </w:p>
    <w:p w14:paraId="3EDAA80D">
      <w:pPr>
        <w:pStyle w:val="166"/>
      </w:pPr>
      <w:r>
        <w:rPr>
          <w:rFonts w:hint="eastAsia"/>
        </w:rPr>
        <w:t>选取配电变压器容量时应合理预留配套公共设施或工商业用户等用电裕度。新能源上送较多地区，应以保障电网安全稳定运行和电源消纳为前提，根据规划装机容量和地 区负荷情况适当预留上送裕度</w:t>
      </w:r>
      <w:r>
        <w:rPr>
          <w:rFonts w:hint="eastAsia"/>
          <w:lang w:eastAsia="zh-CN"/>
        </w:rPr>
        <w:t>。</w:t>
      </w:r>
    </w:p>
    <w:p w14:paraId="489E305B">
      <w:pPr>
        <w:pStyle w:val="166"/>
      </w:pPr>
      <w:r>
        <w:rPr>
          <w:rFonts w:hint="eastAsia"/>
        </w:rPr>
        <w:t>配电变压器容量宜综合供电安全性、规划计算负荷、最大负荷利用小时数等因素参照《配电变压器能效技术经济评价导则》DL/T 985选定，单台容量可选择400kVA、200kVA等，偏远零星负荷区域可选用100kVA容量</w:t>
      </w:r>
      <w:r>
        <w:rPr>
          <w:rFonts w:hint="eastAsia"/>
          <w:lang w:eastAsia="zh-CN"/>
        </w:rPr>
        <w:t>。</w:t>
      </w:r>
    </w:p>
    <w:p w14:paraId="4497529C">
      <w:pPr>
        <w:pStyle w:val="166"/>
      </w:pPr>
      <w:r>
        <w:rPr>
          <w:rFonts w:hint="eastAsia"/>
          <w:lang w:eastAsia="zh-CN"/>
        </w:rPr>
        <w:t>高标准基本农田中低压配电网</w:t>
      </w:r>
      <w:r>
        <w:rPr>
          <w:rFonts w:hint="eastAsia"/>
        </w:rPr>
        <w:t>建设改造根据需要可选用柱上变压器、箱式变压站、配电站房模式</w:t>
      </w:r>
      <w:r>
        <w:rPr>
          <w:rFonts w:hint="eastAsia"/>
          <w:lang w:eastAsia="zh-CN"/>
        </w:rPr>
        <w:t>。</w:t>
      </w:r>
    </w:p>
    <w:p w14:paraId="6ED763F6">
      <w:pPr>
        <w:pStyle w:val="166"/>
      </w:pPr>
      <w:r>
        <w:rPr>
          <w:rFonts w:hint="eastAsia"/>
        </w:rPr>
        <w:t>柱上变压器宜采用“变压器+综合配电箱”模式，200kVA及以上柱上变压器台架应按400kVA容量标准一次性建成；200kVA以下柱上变压器台架应按200kVA容量标准一次性建成</w:t>
      </w:r>
      <w:r>
        <w:rPr>
          <w:rFonts w:hint="eastAsia"/>
          <w:lang w:eastAsia="zh-CN"/>
        </w:rPr>
        <w:t>。</w:t>
      </w:r>
    </w:p>
    <w:p w14:paraId="3F28C8F8">
      <w:pPr>
        <w:pStyle w:val="166"/>
      </w:pPr>
      <w:r>
        <w:rPr>
          <w:rFonts w:hint="eastAsia"/>
        </w:rPr>
        <w:t>综合配电箱体以主杆为基准正面布置，便于运行维护，其底部距地面不小于2.0米；空间满足400kVA及以下容量配变的进线、馈线、计量、无功补偿等功能模块安装要求。综 合配电箱体外壳宜选用不锈钢材料，也可选用纤维增强型不饱和聚酯树脂材料(SMC)</w:t>
      </w:r>
      <w:r>
        <w:rPr>
          <w:rFonts w:hint="eastAsia"/>
          <w:lang w:eastAsia="zh-CN"/>
        </w:rPr>
        <w:t>。</w:t>
      </w:r>
    </w:p>
    <w:p w14:paraId="53B08CFF">
      <w:pPr>
        <w:pStyle w:val="166"/>
        <w:rPr>
          <w:b/>
          <w:bCs/>
          <w:color w:val="0000FF"/>
        </w:rPr>
      </w:pPr>
      <w:r>
        <w:rPr>
          <w:rFonts w:hint="eastAsia"/>
        </w:rPr>
        <w:t>配电室单台配变容量不宜超过800kVA；选用箱式变压站的，应选用美式箱变或欧式箱变，单台变压器容量不宜超过630kVA</w:t>
      </w:r>
      <w:r>
        <w:rPr>
          <w:rFonts w:hint="eastAsia"/>
          <w:lang w:eastAsia="zh-CN"/>
        </w:rPr>
        <w:t>。</w:t>
      </w:r>
      <w:r>
        <w:rPr>
          <w:rFonts w:hint="eastAsia"/>
          <w:b/>
          <w:bCs/>
          <w:color w:val="0000FF"/>
        </w:rPr>
        <w:t>配电室设计应执行GB50053有关规定,并应采取防潮、防鼠虫害等措施,保证运行安全。</w:t>
      </w:r>
    </w:p>
    <w:p w14:paraId="6B87A5B3">
      <w:pPr>
        <w:pStyle w:val="166"/>
      </w:pPr>
      <w:r>
        <w:rPr>
          <w:rFonts w:hint="eastAsia"/>
        </w:rPr>
        <w:t>柱上变压器高压侧宜采用熔断器保护，箱式变电站和配电室配电变压器高压侧宜采用负荷开关-熔丝组合保护或断路器保护，低压侧宜配置塑壳式断路器保护</w:t>
      </w:r>
      <w:r>
        <w:rPr>
          <w:rFonts w:hint="eastAsia"/>
          <w:lang w:eastAsia="zh-CN"/>
        </w:rPr>
        <w:t>。</w:t>
      </w:r>
    </w:p>
    <w:p w14:paraId="6555C292">
      <w:pPr>
        <w:pStyle w:val="166"/>
      </w:pPr>
      <w:r>
        <w:rPr>
          <w:rFonts w:hint="eastAsia"/>
        </w:rPr>
        <w:t>民用建筑低压配电系统的电击防护应包括基本保护（直接接触防护）、故障保护（间接接触防护）和特殊情况下采用的附加保护，防护措施应符合《民用建筑电气设计标准》GB 51348的规定</w:t>
      </w:r>
      <w:r>
        <w:rPr>
          <w:rFonts w:hint="eastAsia"/>
          <w:lang w:eastAsia="zh-CN"/>
        </w:rPr>
        <w:t>。</w:t>
      </w:r>
    </w:p>
    <w:p w14:paraId="2138E036">
      <w:pPr>
        <w:pStyle w:val="166"/>
      </w:pPr>
    </w:p>
    <w:p w14:paraId="7116A71A">
      <w:pPr>
        <w:pStyle w:val="106"/>
        <w:bidi w:val="0"/>
        <w:ind w:left="0" w:leftChars="0" w:firstLine="0" w:firstLineChars="0"/>
      </w:pPr>
      <w:r>
        <w:rPr>
          <w:rFonts w:hint="eastAsia"/>
        </w:rPr>
        <w:t>接户线和进户线</w:t>
      </w:r>
    </w:p>
    <w:p w14:paraId="43517563">
      <w:pPr>
        <w:pStyle w:val="166"/>
      </w:pPr>
      <w:r>
        <w:rPr>
          <w:rFonts w:hint="eastAsia"/>
        </w:rPr>
        <w:t>接户线选用架空绝缘线、集束导线和电缆。架空线路接户线的相线和中性线应从同一基电杆引下，其档距不应大于25m，超过25m时，应设置接户杆（不超过2处）</w:t>
      </w:r>
      <w:r>
        <w:rPr>
          <w:rFonts w:hint="eastAsia"/>
          <w:lang w:eastAsia="zh-CN"/>
        </w:rPr>
        <w:t>。</w:t>
      </w:r>
    </w:p>
    <w:p w14:paraId="781FB5E0">
      <w:pPr>
        <w:pStyle w:val="166"/>
      </w:pPr>
      <w:r>
        <w:rPr>
          <w:rFonts w:hint="eastAsia"/>
        </w:rPr>
        <w:t>沿墙敷设的接户线支持点间的距离不应大6m；接户线的总长度（包括沿墙敷设部分）不宜超过 50m；接户线导线截面应根据用户负荷确定</w:t>
      </w:r>
      <w:r>
        <w:rPr>
          <w:rFonts w:hint="eastAsia"/>
          <w:lang w:eastAsia="zh-CN"/>
        </w:rPr>
        <w:t>。</w:t>
      </w:r>
    </w:p>
    <w:p w14:paraId="59D88D96">
      <w:pPr>
        <w:pStyle w:val="166"/>
      </w:pPr>
      <w:r>
        <w:rPr>
          <w:rFonts w:hint="eastAsia"/>
        </w:rPr>
        <w:t>进户线（表后线）可选择绝缘导线、集束导线和电缆，安装应整洁、美观。沿墙敷设的进户线采用绝缘导线时应加装PVC管，管口应做防水弯头。集束导线、电缆可不加装套管</w:t>
      </w:r>
      <w:r>
        <w:rPr>
          <w:rFonts w:hint="eastAsia"/>
          <w:lang w:eastAsia="zh-CN"/>
        </w:rPr>
        <w:t>。</w:t>
      </w:r>
    </w:p>
    <w:p w14:paraId="5201EDBD">
      <w:pPr>
        <w:pStyle w:val="105"/>
        <w:spacing w:before="240" w:after="240"/>
      </w:pPr>
      <w:r>
        <w:rPr>
          <w:rFonts w:hint="eastAsia"/>
          <w:lang w:eastAsia="zh-CN"/>
        </w:rPr>
        <w:t>电能计量</w:t>
      </w:r>
    </w:p>
    <w:p w14:paraId="3509DBC4">
      <w:pPr>
        <w:pStyle w:val="163"/>
      </w:pPr>
      <w:r>
        <w:rPr>
          <w:rFonts w:hint="eastAsia" w:ascii="黑体" w:eastAsia="黑体"/>
          <w:lang w:eastAsia="zh-CN"/>
        </w:rPr>
        <w:t>一般规定</w:t>
      </w:r>
    </w:p>
    <w:p w14:paraId="64BB9310">
      <w:pPr>
        <w:pStyle w:val="166"/>
      </w:pPr>
      <w:r>
        <w:rPr>
          <w:rFonts w:hint="eastAsia"/>
        </w:rPr>
        <w:t>电能计量装置和技术要求应符合《电能计量装置技术管理规程》DL/T 448的规定。</w:t>
      </w:r>
    </w:p>
    <w:p w14:paraId="75D30ACE">
      <w:pPr>
        <w:pStyle w:val="166"/>
      </w:pPr>
      <w:r>
        <w:rPr>
          <w:rFonts w:hint="eastAsia"/>
        </w:rPr>
        <w:t>计量装置应设置在供电设施与受电设施的产权分界处，并保证电气安全、计量准确以及装置的可靠性和封闭性</w:t>
      </w:r>
      <w:r>
        <w:rPr>
          <w:rFonts w:hint="eastAsia"/>
          <w:lang w:eastAsia="zh-CN"/>
        </w:rPr>
        <w:t>。</w:t>
      </w:r>
    </w:p>
    <w:p w14:paraId="619F2165">
      <w:pPr>
        <w:pStyle w:val="166"/>
      </w:pPr>
      <w:r>
        <w:rPr>
          <w:rFonts w:hint="eastAsia"/>
        </w:rPr>
        <w:t>用户智能电表应采用远程自动抄表方式，用电信息采集系统与一次配电系统同步设计、同步建设、同步投运</w:t>
      </w:r>
      <w:r>
        <w:rPr>
          <w:rFonts w:hint="eastAsia"/>
          <w:lang w:eastAsia="zh-CN"/>
        </w:rPr>
        <w:t>。</w:t>
      </w:r>
    </w:p>
    <w:p w14:paraId="48DE7A40">
      <w:pPr>
        <w:pStyle w:val="106"/>
      </w:pPr>
      <w:r>
        <w:rPr>
          <w:rFonts w:hint="eastAsia"/>
        </w:rPr>
        <w:t>计量装置和计量方</w:t>
      </w:r>
      <w:r>
        <w:rPr>
          <w:rFonts w:hint="eastAsia"/>
          <w:lang w:eastAsia="zh-CN"/>
        </w:rPr>
        <w:t>式</w:t>
      </w:r>
    </w:p>
    <w:p w14:paraId="0ECA3B32">
      <w:pPr>
        <w:pStyle w:val="166"/>
      </w:pPr>
      <w:r>
        <w:rPr>
          <w:rFonts w:hint="eastAsia"/>
        </w:rPr>
        <w:t>计量箱进线侧应装设总开关，电能表出口应装设分户开关，用户能够对其进行操作。</w:t>
      </w:r>
    </w:p>
    <w:p w14:paraId="0CD077B2">
      <w:pPr>
        <w:pStyle w:val="166"/>
      </w:pPr>
      <w:r>
        <w:rPr>
          <w:rFonts w:hint="eastAsia"/>
        </w:rPr>
        <w:t>计量箱底部距地面高度宜为 1.8~2.0m ，设置有专门配电间时，计量箱底部距地面高度宜为 1.4~ 1.6m ，电能表箱应满足坚固、防雨、防锈蚀的要求，应有便于客户查询和用电检查的观察窗</w:t>
      </w:r>
      <w:r>
        <w:rPr>
          <w:rFonts w:hint="eastAsia"/>
          <w:lang w:eastAsia="zh-CN"/>
        </w:rPr>
        <w:t>。</w:t>
      </w:r>
    </w:p>
    <w:p w14:paraId="2CF07E87">
      <w:pPr>
        <w:pStyle w:val="166"/>
      </w:pPr>
      <w:r>
        <w:rPr>
          <w:rFonts w:hint="eastAsia"/>
        </w:rPr>
        <w:t>低压用户应采用“一户一表”的计量方式。农业生产及小商业动力用户采用三相单表位，计量箱均应满足采集器安装的要求</w:t>
      </w:r>
      <w:r>
        <w:rPr>
          <w:rFonts w:hint="eastAsia"/>
          <w:lang w:eastAsia="zh-CN"/>
        </w:rPr>
        <w:t>。</w:t>
      </w:r>
    </w:p>
    <w:p w14:paraId="003CBC57">
      <w:pPr>
        <w:pStyle w:val="166"/>
      </w:pPr>
      <w:r>
        <w:rPr>
          <w:rFonts w:hint="eastAsia"/>
        </w:rPr>
        <w:t>当用户采用2 个及以上电源供电时，每个电源受电点分别设置电能计量装置，分电能计量点按不同电价类别分别设置。如用户需执行两种及以上电价，电能计量装置安装在执行不同电价受电装置出线处，宜采用总表加分表的计量方式</w:t>
      </w:r>
      <w:r>
        <w:rPr>
          <w:rFonts w:hint="eastAsia"/>
          <w:lang w:eastAsia="zh-CN"/>
        </w:rPr>
        <w:t>。</w:t>
      </w:r>
    </w:p>
    <w:p w14:paraId="3F96CD3F">
      <w:pPr>
        <w:pStyle w:val="166"/>
      </w:pPr>
      <w:r>
        <w:rPr>
          <w:rFonts w:hint="eastAsia"/>
        </w:rPr>
        <w:t>计量箱宜就近用户侧设置，根据居民建筑型式尽量采用少量表位数的表箱，避免表后线过长</w:t>
      </w:r>
      <w:r>
        <w:rPr>
          <w:rFonts w:hint="eastAsia"/>
          <w:lang w:eastAsia="zh-CN"/>
        </w:rPr>
        <w:t>。</w:t>
      </w:r>
    </w:p>
    <w:p w14:paraId="69412D16">
      <w:pPr>
        <w:pStyle w:val="105"/>
        <w:spacing w:before="240" w:after="240"/>
      </w:pPr>
      <w:r>
        <w:rPr>
          <w:rFonts w:hint="eastAsia"/>
        </w:rPr>
        <w:t>通信</w:t>
      </w:r>
      <w:r>
        <w:rPr>
          <w:rFonts w:hint="eastAsia"/>
          <w:lang w:eastAsia="zh-CN"/>
        </w:rPr>
        <w:t>保护</w:t>
      </w:r>
      <w:r>
        <w:rPr>
          <w:rFonts w:hint="eastAsia"/>
        </w:rPr>
        <w:t>及自动化</w:t>
      </w:r>
    </w:p>
    <w:p w14:paraId="5A9DE0EE">
      <w:pPr>
        <w:pStyle w:val="163"/>
        <w:rPr>
          <w:rFonts w:hint="eastAsia" w:ascii="黑体" w:hAnsi="黑体" w:eastAsia="黑体" w:cs="黑体"/>
        </w:rPr>
      </w:pPr>
      <w:r>
        <w:rPr>
          <w:rFonts w:hint="eastAsia" w:ascii="黑体" w:hAnsi="黑体" w:eastAsia="黑体" w:cs="黑体"/>
        </w:rPr>
        <w:t>通信系统</w:t>
      </w:r>
    </w:p>
    <w:p w14:paraId="0578FC61">
      <w:pPr>
        <w:pStyle w:val="166"/>
      </w:pPr>
      <w:r>
        <w:rPr>
          <w:rFonts w:hint="eastAsia"/>
        </w:rPr>
        <w:t>乡村配电设施改造升级应同步规划建设通信网，并预留相应位置和通道，确保通 信带宽容量裕度，提高对相关业务的支撑能力</w:t>
      </w:r>
      <w:r>
        <w:rPr>
          <w:rFonts w:hint="eastAsia"/>
          <w:lang w:eastAsia="zh-CN"/>
        </w:rPr>
        <w:t>。</w:t>
      </w:r>
    </w:p>
    <w:p w14:paraId="4DC062F3">
      <w:pPr>
        <w:pStyle w:val="166"/>
      </w:pPr>
      <w:r>
        <w:rPr>
          <w:rFonts w:hint="eastAsia"/>
          <w:lang w:eastAsia="zh-CN"/>
        </w:rPr>
        <w:t>高标准基本农田中低压配电网</w:t>
      </w:r>
      <w:r>
        <w:rPr>
          <w:rFonts w:hint="eastAsia"/>
        </w:rPr>
        <w:t>通信系统应满足配电自动化系统、用电信息采集系统、分布式电源、电动汽车充换电站及储能装置站点等近远期通信需求</w:t>
      </w:r>
      <w:r>
        <w:rPr>
          <w:rFonts w:hint="eastAsia"/>
          <w:lang w:eastAsia="zh-CN"/>
        </w:rPr>
        <w:t>。</w:t>
      </w:r>
    </w:p>
    <w:p w14:paraId="0E6B34D8">
      <w:pPr>
        <w:pStyle w:val="166"/>
      </w:pPr>
      <w:r>
        <w:rPr>
          <w:rFonts w:hint="eastAsia"/>
        </w:rPr>
        <w:t>应根据中低压配电网的业务性能需求、技术经济效益、环境和实施难度等因素，选择适宜的通信方式（光纤、无线、载波通信等）构建终端远程通信通道。当中压配电通信网采用以太网无源光网络（EPON）、千兆无源光网络（GPON）或者工业以太网等技术 组网时，应使用独立纤芯</w:t>
      </w:r>
      <w:r>
        <w:rPr>
          <w:rFonts w:hint="eastAsia"/>
          <w:lang w:eastAsia="zh-CN"/>
        </w:rPr>
        <w:t>。</w:t>
      </w:r>
    </w:p>
    <w:p w14:paraId="1E111C64">
      <w:pPr>
        <w:pStyle w:val="163"/>
      </w:pPr>
      <w:r>
        <w:rPr>
          <w:rFonts w:hint="eastAsia" w:ascii="黑体" w:hAnsi="黑体" w:eastAsia="黑体" w:cs="黑体"/>
        </w:rPr>
        <w:t>保护及自动化</w:t>
      </w:r>
    </w:p>
    <w:p w14:paraId="5BDBF598">
      <w:pPr>
        <w:pStyle w:val="166"/>
      </w:pPr>
      <w:r>
        <w:rPr>
          <w:rFonts w:hint="eastAsia"/>
        </w:rPr>
        <w:t>10kV 线路主要采用三段式电流保护、两段式零序（方向）过电流保护，低电阻接地系统零序电流保护方式及定值选择应与低电阻阻值相配合。根据系统安全稳定需要和保护通道情况，10kV线路可配置光纤纵差等快速保护或其他方式实现全线速断功能</w:t>
      </w:r>
      <w:r>
        <w:rPr>
          <w:rFonts w:hint="eastAsia"/>
          <w:lang w:eastAsia="zh-CN"/>
        </w:rPr>
        <w:t>。</w:t>
      </w:r>
    </w:p>
    <w:p w14:paraId="23ECDFCC">
      <w:pPr>
        <w:pStyle w:val="166"/>
      </w:pPr>
      <w:r>
        <w:rPr>
          <w:rFonts w:hint="eastAsia"/>
        </w:rPr>
        <w:t>10kV 线路分段开关（断路器）和分界开关处宜加装电流保护</w:t>
      </w:r>
      <w:r>
        <w:rPr>
          <w:rFonts w:hint="eastAsia"/>
          <w:lang w:eastAsia="zh-CN"/>
        </w:rPr>
        <w:t>。</w:t>
      </w:r>
    </w:p>
    <w:p w14:paraId="24817CCB">
      <w:pPr>
        <w:pStyle w:val="166"/>
      </w:pPr>
      <w:r>
        <w:rPr>
          <w:rFonts w:hint="eastAsia"/>
        </w:rPr>
        <w:t>通过 10kV 电压等级并网的分布式电源，采用专线接入方式时，宜配置光纤纵差保护；采用T接线路接入系统时，在满足可靠性、选择性、灵敏性和速动性要求时，其接入线路可采用电流电压保护</w:t>
      </w:r>
      <w:r>
        <w:rPr>
          <w:rFonts w:hint="eastAsia"/>
          <w:lang w:eastAsia="zh-CN"/>
        </w:rPr>
        <w:t>。</w:t>
      </w:r>
    </w:p>
    <w:p w14:paraId="4F13F325">
      <w:pPr>
        <w:pStyle w:val="166"/>
      </w:pPr>
      <w:r>
        <w:rPr>
          <w:rFonts w:hint="eastAsia"/>
        </w:rPr>
        <w:t>380/220V 配电线路应装设短路保护、过负荷保护和剩余电流动作保护，剩余电流动作保护装置的安装应符合《剩余电流动作保护装置安装和运行》GB/T 13955 的相关规定</w:t>
      </w:r>
      <w:r>
        <w:rPr>
          <w:rFonts w:hint="eastAsia"/>
          <w:lang w:eastAsia="zh-CN"/>
        </w:rPr>
        <w:t>。</w:t>
      </w:r>
    </w:p>
    <w:p w14:paraId="6EA3DE47">
      <w:pPr>
        <w:pStyle w:val="166"/>
      </w:pPr>
      <w:r>
        <w:rPr>
          <w:rFonts w:hint="eastAsia"/>
        </w:rPr>
        <w:t>配电自动化是提升配电网运行管理水平的有效手段，应具备配电SCADA、馈线自动化及配电网分析应用等功能</w:t>
      </w:r>
      <w:r>
        <w:rPr>
          <w:rFonts w:hint="eastAsia"/>
          <w:lang w:eastAsia="zh-CN"/>
        </w:rPr>
        <w:t>。</w:t>
      </w:r>
    </w:p>
    <w:p w14:paraId="3029EEFC">
      <w:pPr>
        <w:pStyle w:val="166"/>
      </w:pPr>
      <w:r>
        <w:rPr>
          <w:rFonts w:hint="eastAsia"/>
        </w:rPr>
        <w:t>配电自动化建设应符合《配电自动化系统技术规范》DL/T 814 相关规定。配电自动化建设应与配电网一次网架相协调。实施前应对建设区域供电可靠性、一次网架、配电设备等进行评估，经技术经济比较后制定合理的配电自动化方案</w:t>
      </w:r>
      <w:r>
        <w:rPr>
          <w:rFonts w:hint="eastAsia"/>
          <w:lang w:eastAsia="zh-CN"/>
        </w:rPr>
        <w:t>。</w:t>
      </w:r>
    </w:p>
    <w:p w14:paraId="4522F6A3">
      <w:pPr>
        <w:pStyle w:val="105"/>
        <w:spacing w:before="240" w:after="240"/>
      </w:pPr>
      <w:r>
        <w:rPr>
          <w:rFonts w:hint="eastAsia"/>
        </w:rPr>
        <w:t>通信</w:t>
      </w:r>
      <w:r>
        <w:rPr>
          <w:rFonts w:hint="eastAsia"/>
          <w:lang w:eastAsia="zh-CN"/>
        </w:rPr>
        <w:t>保护</w:t>
      </w:r>
      <w:r>
        <w:rPr>
          <w:rFonts w:hint="eastAsia"/>
        </w:rPr>
        <w:t>及自动化</w:t>
      </w:r>
    </w:p>
    <w:p w14:paraId="2EB9F20C">
      <w:pPr>
        <w:pStyle w:val="163"/>
        <w:rPr>
          <w:rFonts w:hint="eastAsia" w:ascii="黑体" w:eastAsia="黑体"/>
        </w:rPr>
      </w:pPr>
      <w:r>
        <w:rPr>
          <w:rFonts w:hint="eastAsia" w:ascii="黑体" w:eastAsia="黑体"/>
        </w:rPr>
        <w:t>防雷</w:t>
      </w:r>
    </w:p>
    <w:p w14:paraId="270F1DAA">
      <w:pPr>
        <w:pStyle w:val="166"/>
      </w:pPr>
      <w:r>
        <w:rPr>
          <w:rFonts w:hint="eastAsia"/>
        </w:rPr>
        <w:t>10kV 绝缘线路宜采用带固定间隙的氧化锌避雷器等方式防雷</w:t>
      </w:r>
      <w:r>
        <w:rPr>
          <w:rFonts w:hint="eastAsia"/>
          <w:lang w:eastAsia="zh-CN"/>
        </w:rPr>
        <w:t>。</w:t>
      </w:r>
    </w:p>
    <w:p w14:paraId="5D21181F">
      <w:pPr>
        <w:pStyle w:val="166"/>
      </w:pPr>
      <w:r>
        <w:rPr>
          <w:rFonts w:hint="eastAsia"/>
        </w:rPr>
        <w:t>水泥杆可通过杆外外敷接地引下线接地或者杆身接地螺母直接连接接地，钢管杆和窄基塔的杆（塔）身双接地点需可靠接地。接地引下线两端与其他装置应有可靠的电气连接</w:t>
      </w:r>
      <w:r>
        <w:rPr>
          <w:rFonts w:hint="eastAsia"/>
          <w:lang w:eastAsia="zh-CN"/>
        </w:rPr>
        <w:t>。</w:t>
      </w:r>
    </w:p>
    <w:p w14:paraId="5072E03A">
      <w:pPr>
        <w:pStyle w:val="166"/>
      </w:pPr>
      <w:r>
        <w:rPr>
          <w:rFonts w:hint="eastAsia"/>
        </w:rPr>
        <w:t>配电变压器高低压侧均应装设避雷器，并尽量靠近变压器</w:t>
      </w:r>
      <w:r>
        <w:rPr>
          <w:rFonts w:hint="eastAsia"/>
          <w:lang w:eastAsia="zh-CN"/>
        </w:rPr>
        <w:t>。</w:t>
      </w:r>
    </w:p>
    <w:p w14:paraId="285A5A94">
      <w:pPr>
        <w:pStyle w:val="166"/>
      </w:pPr>
      <w:r>
        <w:rPr>
          <w:rFonts w:hint="eastAsia"/>
        </w:rPr>
        <w:t>低压综合配电箱防雷采用浪涌保护器，壳体、浪涌保护器及避雷器应接地，接地引线与接地网可靠连接</w:t>
      </w:r>
      <w:r>
        <w:rPr>
          <w:rFonts w:hint="eastAsia"/>
          <w:lang w:eastAsia="zh-CN"/>
        </w:rPr>
        <w:t>。</w:t>
      </w:r>
    </w:p>
    <w:p w14:paraId="2957863A">
      <w:pPr>
        <w:pStyle w:val="166"/>
      </w:pPr>
      <w:r>
        <w:rPr>
          <w:rFonts w:hint="eastAsia"/>
        </w:rPr>
        <w:t>采用交流无间隙金属氧化物避雷器进行过电压保护，金属氧化物避雷器绝缘水平等参数要求按《交流无间隙金属氧化物避雷器》GB11032 相关规定执行</w:t>
      </w:r>
      <w:r>
        <w:rPr>
          <w:rFonts w:hint="eastAsia"/>
          <w:lang w:eastAsia="zh-CN"/>
        </w:rPr>
        <w:t>。</w:t>
      </w:r>
    </w:p>
    <w:p w14:paraId="114F2BB2">
      <w:pPr>
        <w:pStyle w:val="166"/>
      </w:pPr>
      <w:r>
        <w:rPr>
          <w:rFonts w:hint="eastAsia"/>
        </w:rPr>
        <w:t>雷暴活动频繁区 10kV 架空线路可通过降低接地电阻、加强线路绝缘、安装打通流（10kA）雷击防护装置、加装避雷线和加装耦合地线等措施降低雷暴影响</w:t>
      </w:r>
      <w:r>
        <w:rPr>
          <w:rFonts w:hint="eastAsia"/>
          <w:lang w:eastAsia="zh-CN"/>
        </w:rPr>
        <w:t>。</w:t>
      </w:r>
    </w:p>
    <w:p w14:paraId="2B6A1970">
      <w:pPr>
        <w:pStyle w:val="163"/>
        <w:rPr>
          <w:rFonts w:hint="eastAsia" w:ascii="黑体" w:eastAsia="黑体"/>
        </w:rPr>
      </w:pPr>
      <w:r>
        <w:rPr>
          <w:rFonts w:hint="eastAsia" w:ascii="黑体" w:hAnsi="Times New Roman" w:eastAsia="黑体" w:cs="Times New Roman"/>
          <w:b w:val="0"/>
          <w:bCs w:val="0"/>
          <w:spacing w:val="0"/>
          <w:sz w:val="21"/>
          <w:szCs w:val="20"/>
        </w:rPr>
        <w:t>接地</w:t>
      </w:r>
    </w:p>
    <w:p w14:paraId="19C8EA83">
      <w:pPr>
        <w:pStyle w:val="166"/>
        <w:rPr>
          <w:b/>
          <w:bCs/>
          <w:color w:val="0000FF"/>
        </w:rPr>
      </w:pPr>
      <w:r>
        <w:rPr>
          <w:rFonts w:hint="eastAsia"/>
        </w:rPr>
        <w:t>低压配电网一般为直接接地系统，无变电站的各类工业和民用建筑的低压配电系统宜采用TN-C-S 接地系统，无等电位联结的户外场所宜采用TT接地系统，不允许停电和对接地故障电压有严格限制的场所可采用IT 接地系统</w:t>
      </w:r>
      <w:r>
        <w:rPr>
          <w:rFonts w:hint="eastAsia"/>
          <w:lang w:eastAsia="zh-CN"/>
        </w:rPr>
        <w:t>。</w:t>
      </w:r>
      <w:r>
        <w:rPr>
          <w:rFonts w:hint="eastAsia"/>
          <w:b/>
          <w:bCs/>
          <w:color w:val="0000FF"/>
        </w:rPr>
        <w:t>农田输配电设备接地方式宜采用TT系统,对安全有特殊要求的宜采用1T系统。</w:t>
      </w:r>
    </w:p>
    <w:p w14:paraId="734AC5B2">
      <w:pPr>
        <w:pStyle w:val="166"/>
      </w:pPr>
      <w:r>
        <w:rPr>
          <w:rFonts w:hint="eastAsia"/>
        </w:rPr>
        <w:t>配电变台接地装置设水平和垂直接地的复合接地网。水平接地体一般采用热镀锌  扁钢，三面施焊，连接处应做好防腐处理。垂直接地体采用镀锌角钢，将接地体置于沟槽内并打入地下，垂直接地体的间距不宜小于其长度的 2 倍。100kVA 及以上变压器实测接 地电阻不应大于 4 Ω , 100kVA 以下变压器实测接地电阻不应大于 10 Ω</w:t>
      </w:r>
      <w:r>
        <w:rPr>
          <w:rFonts w:hint="eastAsia"/>
          <w:lang w:eastAsia="zh-CN"/>
        </w:rPr>
        <w:t>。</w:t>
      </w:r>
    </w:p>
    <w:p w14:paraId="06060FCC">
      <w:pPr>
        <w:pStyle w:val="166"/>
      </w:pPr>
      <w:r>
        <w:rPr>
          <w:rFonts w:hint="eastAsia"/>
        </w:rPr>
        <w:t>接地扁钢与接地引线安装接地引下线，包括避雷器、变压器中性点接地、变压器 外壳和低压综合配电箱外壳，所有接地引下线应汇集后统一接地</w:t>
      </w:r>
      <w:r>
        <w:rPr>
          <w:rFonts w:hint="eastAsia"/>
          <w:lang w:eastAsia="zh-CN"/>
        </w:rPr>
        <w:t>。</w:t>
      </w:r>
    </w:p>
    <w:p w14:paraId="005C7ED2">
      <w:pPr>
        <w:pStyle w:val="163"/>
        <w:numPr>
          <w:ilvl w:val="-1"/>
          <w:numId w:val="0"/>
        </w:numPr>
        <w:rPr>
          <w:rFonts w:hint="eastAsia" w:ascii="黑体" w:eastAsia="黑体"/>
        </w:rPr>
      </w:pPr>
    </w:p>
    <w:p w14:paraId="4BF1D708">
      <w:pPr>
        <w:pStyle w:val="105"/>
        <w:bidi w:val="0"/>
        <w:ind w:left="0" w:leftChars="0" w:firstLine="0" w:firstLineChars="0"/>
        <w:rPr>
          <w:rFonts w:hint="eastAsia"/>
        </w:rPr>
      </w:pPr>
      <w:r>
        <w:rPr>
          <w:rFonts w:hint="eastAsia"/>
          <w:lang w:eastAsia="zh-CN"/>
        </w:rPr>
        <w:t>用户接入</w:t>
      </w:r>
    </w:p>
    <w:p w14:paraId="4DBF5A93">
      <w:pPr>
        <w:pStyle w:val="163"/>
      </w:pPr>
      <w:r>
        <w:rPr>
          <w:rFonts w:hint="eastAsia"/>
        </w:rPr>
        <w:t>用户的供电电压等级应根据所在区域配电网条件、供电可靠性要求、供电安全要求、用电负荷、报装容量，经过技术经济比较后确定。对于供电距离较长、负荷较大的用户，当电能质量不满足要求时，应采用高一级电压供电</w:t>
      </w:r>
      <w:r>
        <w:rPr>
          <w:rFonts w:hint="eastAsia"/>
          <w:lang w:eastAsia="zh-CN"/>
        </w:rPr>
        <w:t>。</w:t>
      </w:r>
      <w:r>
        <w:rPr>
          <w:rFonts w:hint="eastAsia"/>
        </w:rPr>
        <w:t>用</w:t>
      </w:r>
      <w:r>
        <w:rPr>
          <w:rFonts w:hint="eastAsia"/>
          <w:lang w:eastAsia="zh-CN"/>
        </w:rPr>
        <w:t>户接入容量和供电电压等级</w:t>
      </w:r>
      <w:r>
        <w:rPr>
          <w:rFonts w:hint="eastAsia"/>
        </w:rPr>
        <w:t xml:space="preserve">可参照表 </w:t>
      </w:r>
      <w:r>
        <w:rPr>
          <w:rFonts w:hint="eastAsia"/>
          <w:lang w:val="en-US" w:eastAsia="zh-CN"/>
        </w:rPr>
        <w:t>10</w:t>
      </w:r>
      <w:r>
        <w:rPr>
          <w:rFonts w:hint="eastAsia"/>
        </w:rPr>
        <w:t>.1 选取</w:t>
      </w:r>
      <w:r>
        <w:rPr>
          <w:rFonts w:hint="eastAsia"/>
          <w:lang w:eastAsia="zh-CN"/>
        </w:rPr>
        <w:t>。</w:t>
      </w:r>
    </w:p>
    <w:p w14:paraId="00879208">
      <w:pPr>
        <w:pStyle w:val="163"/>
        <w:numPr>
          <w:ilvl w:val="-1"/>
          <w:numId w:val="0"/>
        </w:numPr>
        <w:jc w:val="center"/>
        <w:rPr>
          <w:b/>
          <w:bCs/>
          <w:spacing w:val="6"/>
          <w:sz w:val="20"/>
          <w:szCs w:val="20"/>
        </w:rPr>
      </w:pPr>
      <w:r>
        <w:rPr>
          <w:b/>
          <w:bCs/>
          <w:spacing w:val="6"/>
          <w:sz w:val="20"/>
          <w:szCs w:val="20"/>
        </w:rPr>
        <w:t>表</w:t>
      </w:r>
      <w:r>
        <w:rPr>
          <w:spacing w:val="-23"/>
          <w:sz w:val="20"/>
          <w:szCs w:val="20"/>
        </w:rPr>
        <w:t xml:space="preserve"> </w:t>
      </w:r>
      <w:r>
        <w:rPr>
          <w:rFonts w:hint="eastAsia"/>
          <w:spacing w:val="-23"/>
          <w:sz w:val="20"/>
          <w:szCs w:val="20"/>
          <w:lang w:val="en-US" w:eastAsia="zh-CN"/>
        </w:rPr>
        <w:t>10</w:t>
      </w:r>
      <w:r>
        <w:rPr>
          <w:rFonts w:ascii="Times New Roman" w:hAnsi="Times New Roman" w:eastAsia="Times New Roman" w:cs="Times New Roman"/>
          <w:b/>
          <w:bCs/>
          <w:spacing w:val="6"/>
          <w:sz w:val="20"/>
          <w:szCs w:val="20"/>
        </w:rPr>
        <w:t xml:space="preserve">.1  </w:t>
      </w:r>
      <w:r>
        <w:rPr>
          <w:b/>
          <w:bCs/>
          <w:spacing w:val="6"/>
          <w:sz w:val="20"/>
          <w:szCs w:val="20"/>
        </w:rPr>
        <w:t>用户接入容量和供电电压等级推荐表</w:t>
      </w:r>
    </w:p>
    <w:tbl>
      <w:tblPr>
        <w:tblStyle w:val="231"/>
        <w:tblpPr w:leftFromText="180" w:rightFromText="180" w:vertAnchor="text" w:horzAnchor="page" w:tblpX="1221" w:tblpY="119"/>
        <w:tblOverlap w:val="never"/>
        <w:tblW w:w="93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14"/>
        <w:gridCol w:w="3110"/>
        <w:gridCol w:w="3115"/>
      </w:tblGrid>
      <w:tr w14:paraId="5EF95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114" w:type="dxa"/>
            <w:vAlign w:val="top"/>
          </w:tcPr>
          <w:p w14:paraId="5ED549BA">
            <w:pPr>
              <w:pStyle w:val="232"/>
              <w:spacing w:before="172" w:line="219" w:lineRule="auto"/>
              <w:ind w:left="933"/>
            </w:pPr>
            <w:r>
              <w:rPr>
                <w:spacing w:val="-2"/>
              </w:rPr>
              <w:t>供电电压等级</w:t>
            </w:r>
          </w:p>
        </w:tc>
        <w:tc>
          <w:tcPr>
            <w:tcW w:w="3110" w:type="dxa"/>
            <w:vAlign w:val="top"/>
          </w:tcPr>
          <w:p w14:paraId="650797C5">
            <w:pPr>
              <w:pStyle w:val="232"/>
              <w:spacing w:before="173" w:line="220" w:lineRule="auto"/>
              <w:ind w:left="930"/>
            </w:pPr>
            <w:r>
              <w:rPr>
                <w:spacing w:val="-2"/>
              </w:rPr>
              <w:t>用电设备容量</w:t>
            </w:r>
          </w:p>
        </w:tc>
        <w:tc>
          <w:tcPr>
            <w:tcW w:w="3115" w:type="dxa"/>
            <w:vAlign w:val="top"/>
          </w:tcPr>
          <w:p w14:paraId="0A029A1F">
            <w:pPr>
              <w:pStyle w:val="232"/>
              <w:spacing w:before="173" w:line="220" w:lineRule="auto"/>
              <w:ind w:left="845"/>
            </w:pPr>
            <w:r>
              <w:rPr>
                <w:spacing w:val="-2"/>
              </w:rPr>
              <w:t>受电变压器容量</w:t>
            </w:r>
          </w:p>
        </w:tc>
      </w:tr>
      <w:tr w14:paraId="50C17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114" w:type="dxa"/>
            <w:vAlign w:val="top"/>
          </w:tcPr>
          <w:p w14:paraId="501CAB72">
            <w:pPr>
              <w:spacing w:before="198" w:line="188" w:lineRule="auto"/>
              <w:ind w:left="126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220V</w:t>
            </w:r>
          </w:p>
        </w:tc>
        <w:tc>
          <w:tcPr>
            <w:tcW w:w="3110" w:type="dxa"/>
            <w:vAlign w:val="top"/>
          </w:tcPr>
          <w:p w14:paraId="63A655B3">
            <w:pPr>
              <w:pStyle w:val="232"/>
              <w:spacing w:before="169" w:line="220" w:lineRule="auto"/>
              <w:ind w:left="612"/>
            </w:pPr>
            <w:r>
              <w:rPr>
                <w:rFonts w:ascii="Times New Roman" w:hAnsi="Times New Roman" w:eastAsia="Times New Roman" w:cs="Times New Roman"/>
                <w:spacing w:val="-2"/>
              </w:rPr>
              <w:t xml:space="preserve">10kW </w:t>
            </w:r>
            <w:r>
              <w:rPr>
                <w:spacing w:val="-2"/>
              </w:rPr>
              <w:t>及以下单相设备</w:t>
            </w:r>
          </w:p>
        </w:tc>
        <w:tc>
          <w:tcPr>
            <w:tcW w:w="3115" w:type="dxa"/>
            <w:vAlign w:val="top"/>
          </w:tcPr>
          <w:p w14:paraId="635E4E84">
            <w:pPr>
              <w:spacing w:before="274" w:line="86" w:lineRule="exact"/>
              <w:ind w:left="1442"/>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r>
      <w:tr w14:paraId="6E4D6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114" w:type="dxa"/>
            <w:vAlign w:val="top"/>
          </w:tcPr>
          <w:p w14:paraId="42FDB24A">
            <w:pPr>
              <w:spacing w:before="199" w:line="188" w:lineRule="auto"/>
              <w:ind w:left="127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380V</w:t>
            </w:r>
          </w:p>
        </w:tc>
        <w:tc>
          <w:tcPr>
            <w:tcW w:w="3110" w:type="dxa"/>
            <w:vAlign w:val="top"/>
          </w:tcPr>
          <w:p w14:paraId="66BDB7BD">
            <w:pPr>
              <w:pStyle w:val="232"/>
              <w:spacing w:before="170" w:line="221" w:lineRule="auto"/>
              <w:ind w:left="926"/>
            </w:pPr>
            <w:r>
              <w:rPr>
                <w:rFonts w:ascii="Times New Roman" w:hAnsi="Times New Roman" w:eastAsia="Times New Roman" w:cs="Times New Roman"/>
                <w:spacing w:val="-3"/>
              </w:rPr>
              <w:t xml:space="preserve">160kW </w:t>
            </w:r>
            <w:r>
              <w:rPr>
                <w:spacing w:val="-3"/>
              </w:rPr>
              <w:t>及以下</w:t>
            </w:r>
          </w:p>
        </w:tc>
        <w:tc>
          <w:tcPr>
            <w:tcW w:w="3115" w:type="dxa"/>
            <w:vAlign w:val="top"/>
          </w:tcPr>
          <w:p w14:paraId="1D3BD754">
            <w:pPr>
              <w:pStyle w:val="232"/>
              <w:spacing w:before="170" w:line="221" w:lineRule="auto"/>
              <w:ind w:left="915"/>
            </w:pPr>
            <w:r>
              <w:rPr>
                <w:rFonts w:ascii="Times New Roman" w:hAnsi="Times New Roman" w:eastAsia="Times New Roman" w:cs="Times New Roman"/>
                <w:spacing w:val="-2"/>
              </w:rPr>
              <w:t xml:space="preserve">50kVA </w:t>
            </w:r>
            <w:r>
              <w:rPr>
                <w:spacing w:val="-2"/>
              </w:rPr>
              <w:t>及以下</w:t>
            </w:r>
          </w:p>
        </w:tc>
      </w:tr>
      <w:tr w14:paraId="29885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3114" w:type="dxa"/>
            <w:vAlign w:val="top"/>
          </w:tcPr>
          <w:p w14:paraId="52AC5349">
            <w:pPr>
              <w:spacing w:before="199" w:line="192" w:lineRule="auto"/>
              <w:ind w:left="128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10kV</w:t>
            </w:r>
          </w:p>
        </w:tc>
        <w:tc>
          <w:tcPr>
            <w:tcW w:w="3110" w:type="dxa"/>
            <w:vAlign w:val="top"/>
          </w:tcPr>
          <w:p w14:paraId="3D25006F">
            <w:pPr>
              <w:spacing w:before="278" w:line="86" w:lineRule="exact"/>
              <w:ind w:left="1440"/>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3115" w:type="dxa"/>
            <w:vAlign w:val="top"/>
          </w:tcPr>
          <w:p w14:paraId="3978F632">
            <w:pPr>
              <w:spacing w:before="199" w:line="192" w:lineRule="auto"/>
              <w:ind w:left="86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50kVA~</w:t>
            </w:r>
            <w:r>
              <w:rPr>
                <w:rFonts w:ascii="Times New Roman" w:hAnsi="Times New Roman" w:eastAsia="Times New Roman" w:cs="Times New Roman"/>
                <w:spacing w:val="-20"/>
                <w:sz w:val="18"/>
                <w:szCs w:val="18"/>
              </w:rPr>
              <w:t xml:space="preserve"> </w:t>
            </w:r>
            <w:r>
              <w:rPr>
                <w:rFonts w:ascii="Times New Roman" w:hAnsi="Times New Roman" w:eastAsia="Times New Roman" w:cs="Times New Roman"/>
                <w:spacing w:val="-3"/>
                <w:sz w:val="18"/>
                <w:szCs w:val="18"/>
              </w:rPr>
              <w:t>10MVA</w:t>
            </w:r>
          </w:p>
        </w:tc>
      </w:tr>
    </w:tbl>
    <w:p w14:paraId="2EC4C3E8">
      <w:pPr>
        <w:pStyle w:val="163"/>
        <w:numPr>
          <w:ilvl w:val="-1"/>
          <w:numId w:val="0"/>
        </w:numPr>
        <w:jc w:val="center"/>
        <w:rPr>
          <w:b/>
          <w:bCs/>
          <w:spacing w:val="6"/>
          <w:sz w:val="20"/>
          <w:szCs w:val="20"/>
        </w:rPr>
      </w:pPr>
    </w:p>
    <w:p w14:paraId="4CEC4FB4">
      <w:pPr>
        <w:pStyle w:val="163"/>
      </w:pPr>
      <w:r>
        <w:rPr>
          <w:rFonts w:hint="eastAsia"/>
        </w:rPr>
        <w:t>重要电力用户供电电源配置应符合《重要电力用户供电电源及自备应急电源配置技术规范》GB/Z 29328 、《电力用户业扩报装技术规范》DL/T 1917 的规定。重要电力用户供电电源应采用双电源或双回路供电，当任何一路或一路以上电源发生故障时，至少仍有一路电源应能满足保安负荷供电要求。其中一级重要电力用户至少应采用双电源供电，两路电源应当来自两个不同的变电站；二级重要电力用户至少应采用双回路供电</w:t>
      </w:r>
      <w:r>
        <w:rPr>
          <w:rFonts w:hint="eastAsia"/>
          <w:lang w:eastAsia="zh-CN"/>
        </w:rPr>
        <w:t>。</w:t>
      </w:r>
    </w:p>
    <w:p w14:paraId="1BE86D18">
      <w:pPr>
        <w:pStyle w:val="163"/>
      </w:pPr>
      <w:r>
        <w:rPr>
          <w:rFonts w:hint="eastAsia"/>
        </w:rPr>
        <w:t>重要电力用户应配备自备应急电源，满足保安负荷应急供电需要，并具备外部移动式应急电源接入条件。 自备应急电源配置容量不低于保安负荷的 120% ，并应符合国家有关安全、消防、节能、环保等技术规范和标准要求。</w:t>
      </w:r>
    </w:p>
    <w:p w14:paraId="46169CAD">
      <w:pPr>
        <w:pStyle w:val="163"/>
      </w:pPr>
      <w:r>
        <w:rPr>
          <w:rFonts w:hint="eastAsia"/>
        </w:rPr>
        <w:t>临时性重要电力用户应按照用电负荷重要性，在条件允许情况下，通过建设临时线路或配备移动发电设备等方式满足供电要求。</w:t>
      </w:r>
    </w:p>
    <w:p w14:paraId="4E587FC2">
      <w:pPr>
        <w:pStyle w:val="163"/>
      </w:pPr>
      <w:r>
        <w:rPr>
          <w:rFonts w:hint="eastAsia"/>
        </w:rPr>
        <w:t>位于工业园区等的敏感设备电压暂降与短时中断应满足《电能质量电压暂降与短时中断》GB/T 30137 的要求。</w:t>
      </w:r>
    </w:p>
    <w:p w14:paraId="23E1F9EA">
      <w:pPr>
        <w:pStyle w:val="105"/>
        <w:bidi w:val="0"/>
        <w:ind w:left="0" w:leftChars="0" w:firstLine="0" w:firstLineChars="0"/>
      </w:pPr>
      <w:r>
        <w:rPr>
          <w:rFonts w:hint="eastAsia"/>
        </w:rPr>
        <w:t>分布式电源、电化学储能系统和充换电设施接入</w:t>
      </w:r>
    </w:p>
    <w:p w14:paraId="561B2E64">
      <w:pPr>
        <w:pStyle w:val="163"/>
        <w:rPr>
          <w:rFonts w:hint="eastAsia" w:ascii="黑体" w:eastAsia="黑体"/>
        </w:rPr>
      </w:pPr>
      <w:r>
        <w:rPr>
          <w:rFonts w:hint="eastAsia" w:ascii="黑体" w:eastAsia="黑体"/>
        </w:rPr>
        <w:t>分布式电源接入</w:t>
      </w:r>
    </w:p>
    <w:p w14:paraId="2FED1790">
      <w:pPr>
        <w:pStyle w:val="166"/>
      </w:pPr>
      <w:r>
        <w:rPr>
          <w:rFonts w:hint="eastAsia"/>
        </w:rPr>
        <w:t>接入 10kV 及以上配电网的分布式电源宜采用专线接入，在满足电网安全运行及电能质量要求时，也可采用T 接方式接入；接入 380/220V 配电网的分布式电源可接入公共电网配电箱/线路，或者接入公共电网配电室或变压器低压侧</w:t>
      </w:r>
      <w:r>
        <w:rPr>
          <w:rFonts w:hint="eastAsia"/>
          <w:lang w:eastAsia="zh-CN"/>
        </w:rPr>
        <w:t>。</w:t>
      </w:r>
    </w:p>
    <w:p w14:paraId="5F715DB9">
      <w:pPr>
        <w:pStyle w:val="166"/>
        <w:bidi w:val="0"/>
        <w:ind w:left="0" w:leftChars="0" w:firstLineChars="0"/>
      </w:pPr>
      <w:r>
        <w:rPr>
          <w:rFonts w:hint="eastAsia"/>
        </w:rPr>
        <w:t>分布式电源并网等级可根据总装机容量进行初步选择，最终并网电压等级应根据电网条件，通过技术经济比选论证确定。若高低两级电压均具备接入条件，优先采用低电压等级接入。</w:t>
      </w:r>
    </w:p>
    <w:p w14:paraId="467FE695">
      <w:pPr>
        <w:pStyle w:val="166"/>
      </w:pPr>
      <w:r>
        <w:rPr>
          <w:rFonts w:hint="eastAsia"/>
        </w:rPr>
        <w:t>接入配电网的分布式电源应具备快速检测孤岛且立即断开与电网连接的能力，防孤岛保护动作时间不大于 2s，防孤岛保护还应与配电网侧线路保护和安全自动装置相配合</w:t>
      </w:r>
      <w:r>
        <w:rPr>
          <w:rFonts w:hint="eastAsia"/>
          <w:lang w:eastAsia="zh-CN"/>
        </w:rPr>
        <w:t>。</w:t>
      </w:r>
    </w:p>
    <w:p w14:paraId="188B1585">
      <w:pPr>
        <w:pStyle w:val="166"/>
      </w:pPr>
      <w:r>
        <w:rPr>
          <w:rFonts w:hint="eastAsia"/>
        </w:rPr>
        <w:t>同一个配电台区多个户用光伏采用220V 接入时，应均衡接入三相</w:t>
      </w:r>
      <w:r>
        <w:rPr>
          <w:rFonts w:hint="eastAsia"/>
          <w:lang w:eastAsia="zh-CN"/>
        </w:rPr>
        <w:t>。</w:t>
      </w:r>
    </w:p>
    <w:p w14:paraId="1A9CE082">
      <w:pPr>
        <w:pStyle w:val="166"/>
        <w:rPr>
          <w:rFonts w:hint="eastAsia" w:ascii="黑体" w:eastAsia="黑体"/>
        </w:rPr>
      </w:pPr>
      <w:r>
        <w:rPr>
          <w:rFonts w:hint="eastAsia"/>
        </w:rPr>
        <w:t>分布式电源并网应符合《分布式电源并网技术要求》GB/T 33593 、《分布式电源接入配电网技术规定》NB/T 32015 的规定要求</w:t>
      </w:r>
      <w:r>
        <w:rPr>
          <w:rFonts w:hint="eastAsia"/>
          <w:lang w:eastAsia="zh-CN"/>
        </w:rPr>
        <w:t>。</w:t>
      </w:r>
    </w:p>
    <w:p w14:paraId="2C990FFC">
      <w:pPr>
        <w:pStyle w:val="163"/>
        <w:rPr>
          <w:rFonts w:hint="eastAsia" w:ascii="黑体" w:eastAsia="黑体"/>
        </w:rPr>
      </w:pPr>
      <w:r>
        <w:rPr>
          <w:rFonts w:hint="eastAsia" w:ascii="黑体" w:eastAsia="黑体"/>
        </w:rPr>
        <w:t>电化学储能系统接入</w:t>
      </w:r>
    </w:p>
    <w:p w14:paraId="015AA996">
      <w:pPr>
        <w:pStyle w:val="166"/>
        <w:rPr>
          <w:rFonts w:hint="eastAsia" w:ascii="黑体" w:eastAsia="黑体"/>
        </w:rPr>
      </w:pPr>
      <w:r>
        <w:rPr>
          <w:rFonts w:hint="eastAsia"/>
        </w:rPr>
        <w:t>电化学储能系统接入中低压配电网的电压等级应综合考虑储能系统额定功率、当地电网条件确定</w:t>
      </w:r>
      <w:r>
        <w:rPr>
          <w:rFonts w:hint="eastAsia"/>
          <w:lang w:eastAsia="zh-CN"/>
        </w:rPr>
        <w:t>。</w:t>
      </w:r>
    </w:p>
    <w:p w14:paraId="7DCB88A8">
      <w:pPr>
        <w:pStyle w:val="166"/>
        <w:rPr>
          <w:rFonts w:hint="eastAsia" w:ascii="黑体" w:eastAsia="黑体"/>
        </w:rPr>
      </w:pPr>
      <w:r>
        <w:rPr>
          <w:rFonts w:hint="eastAsia" w:ascii="宋体" w:eastAsia="宋体"/>
        </w:rPr>
        <w:t>电化学储能系统接入中低压配电网时，功率控制、电网适应性、故障穿越、电能质量等方面应符合《电化学储能系统接入电网技术规定》GB/T 36547的相关规定。</w:t>
      </w:r>
    </w:p>
    <w:p w14:paraId="2012FA97">
      <w:pPr>
        <w:pStyle w:val="166"/>
        <w:rPr>
          <w:rFonts w:hint="eastAsia" w:ascii="宋体" w:eastAsia="宋体"/>
        </w:rPr>
      </w:pPr>
      <w:r>
        <w:rPr>
          <w:rFonts w:hint="eastAsia" w:ascii="宋体" w:eastAsia="宋体"/>
        </w:rPr>
        <w:t>储能电站选址应满足防火和防爆等相关消防要求</w:t>
      </w:r>
      <w:r>
        <w:rPr>
          <w:rFonts w:hint="eastAsia"/>
          <w:lang w:eastAsia="zh-CN"/>
        </w:rPr>
        <w:t>。</w:t>
      </w:r>
    </w:p>
    <w:p w14:paraId="0DFAA6DE">
      <w:pPr>
        <w:pStyle w:val="166"/>
        <w:rPr>
          <w:rFonts w:hint="eastAsia" w:ascii="宋体" w:eastAsia="宋体"/>
        </w:rPr>
      </w:pPr>
      <w:r>
        <w:rPr>
          <w:rFonts w:hint="eastAsia"/>
        </w:rPr>
        <w:t>电化学储能系统可通过三相或单相接入配电网，其容量和接入点的电压等级宜参照表11.1确定</w:t>
      </w:r>
      <w:r>
        <w:rPr>
          <w:rFonts w:hint="eastAsia"/>
          <w:lang w:eastAsia="zh-CN"/>
        </w:rPr>
        <w:t>。</w:t>
      </w:r>
    </w:p>
    <w:p w14:paraId="76340F37">
      <w:pPr>
        <w:pStyle w:val="163"/>
        <w:numPr>
          <w:ilvl w:val="-1"/>
          <w:numId w:val="0"/>
        </w:numPr>
        <w:jc w:val="center"/>
        <w:rPr>
          <w:b/>
          <w:bCs/>
          <w:spacing w:val="6"/>
          <w:sz w:val="20"/>
          <w:szCs w:val="20"/>
        </w:rPr>
      </w:pPr>
      <w:r>
        <w:rPr>
          <w:b/>
          <w:bCs/>
          <w:spacing w:val="6"/>
          <w:sz w:val="20"/>
          <w:szCs w:val="20"/>
        </w:rPr>
        <w:t>表</w:t>
      </w:r>
      <w:r>
        <w:rPr>
          <w:spacing w:val="-25"/>
          <w:sz w:val="20"/>
          <w:szCs w:val="20"/>
        </w:rPr>
        <w:t xml:space="preserve"> </w:t>
      </w:r>
      <w:r>
        <w:rPr>
          <w:rFonts w:ascii="Times New Roman" w:hAnsi="Times New Roman" w:eastAsia="Times New Roman" w:cs="Times New Roman"/>
          <w:b/>
          <w:bCs/>
          <w:spacing w:val="6"/>
          <w:sz w:val="20"/>
          <w:szCs w:val="20"/>
        </w:rPr>
        <w:t>1</w:t>
      </w:r>
      <w:r>
        <w:rPr>
          <w:rFonts w:hint="eastAsia" w:ascii="Times New Roman" w:hAnsi="Times New Roman" w:cs="Times New Roman"/>
          <w:b/>
          <w:bCs/>
          <w:spacing w:val="6"/>
          <w:sz w:val="20"/>
          <w:szCs w:val="20"/>
          <w:lang w:val="en-US" w:eastAsia="zh-CN"/>
        </w:rPr>
        <w:t>1</w:t>
      </w:r>
      <w:r>
        <w:rPr>
          <w:rFonts w:ascii="Times New Roman" w:hAnsi="Times New Roman" w:eastAsia="Times New Roman" w:cs="Times New Roman"/>
          <w:b/>
          <w:bCs/>
          <w:spacing w:val="6"/>
          <w:sz w:val="20"/>
          <w:szCs w:val="20"/>
        </w:rPr>
        <w:t>.</w:t>
      </w:r>
      <w:r>
        <w:rPr>
          <w:rFonts w:hint="eastAsia" w:ascii="Times New Roman" w:hAnsi="Times New Roman" w:cs="Times New Roman"/>
          <w:b/>
          <w:bCs/>
          <w:spacing w:val="6"/>
          <w:sz w:val="20"/>
          <w:szCs w:val="20"/>
          <w:lang w:val="en-US" w:eastAsia="zh-CN"/>
        </w:rPr>
        <w:t>1</w:t>
      </w:r>
      <w:r>
        <w:rPr>
          <w:rFonts w:ascii="Times New Roman" w:hAnsi="Times New Roman" w:eastAsia="Times New Roman" w:cs="Times New Roman"/>
          <w:b/>
          <w:bCs/>
          <w:spacing w:val="6"/>
          <w:sz w:val="20"/>
          <w:szCs w:val="20"/>
        </w:rPr>
        <w:t xml:space="preserve">  </w:t>
      </w:r>
      <w:r>
        <w:rPr>
          <w:b/>
          <w:bCs/>
          <w:spacing w:val="6"/>
          <w:sz w:val="20"/>
          <w:szCs w:val="20"/>
        </w:rPr>
        <w:t>新型储能系统接入电网电压推荐等级表</w:t>
      </w:r>
    </w:p>
    <w:tbl>
      <w:tblPr>
        <w:tblStyle w:val="231"/>
        <w:tblW w:w="8010" w:type="dxa"/>
        <w:tblInd w:w="662" w:type="dxa"/>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Layout w:type="fixed"/>
        <w:tblCellMar>
          <w:top w:w="0" w:type="dxa"/>
          <w:left w:w="0" w:type="dxa"/>
          <w:bottom w:w="0" w:type="dxa"/>
          <w:right w:w="0" w:type="dxa"/>
        </w:tblCellMar>
      </w:tblPr>
      <w:tblGrid>
        <w:gridCol w:w="2636"/>
        <w:gridCol w:w="2689"/>
        <w:gridCol w:w="2685"/>
      </w:tblGrid>
      <w:tr w14:paraId="465D4F35">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0" w:type="dxa"/>
            <w:bottom w:w="0" w:type="dxa"/>
            <w:right w:w="0" w:type="dxa"/>
          </w:tblCellMar>
        </w:tblPrEx>
        <w:trPr>
          <w:trHeight w:val="406" w:hRule="atLeast"/>
        </w:trPr>
        <w:tc>
          <w:tcPr>
            <w:tcW w:w="2636" w:type="dxa"/>
            <w:tcBorders>
              <w:top w:val="single" w:color="262626" w:sz="6" w:space="0"/>
              <w:left w:val="single" w:color="262626" w:sz="6" w:space="0"/>
            </w:tcBorders>
            <w:vAlign w:val="top"/>
          </w:tcPr>
          <w:p w14:paraId="534F9071">
            <w:pPr>
              <w:pStyle w:val="232"/>
              <w:spacing w:before="117" w:line="219" w:lineRule="auto"/>
              <w:ind w:left="599"/>
            </w:pPr>
            <w:r>
              <w:rPr>
                <w:spacing w:val="-1"/>
              </w:rPr>
              <w:t>储能系统额定功率</w:t>
            </w:r>
          </w:p>
        </w:tc>
        <w:tc>
          <w:tcPr>
            <w:tcW w:w="2689" w:type="dxa"/>
            <w:tcBorders>
              <w:top w:val="single" w:color="262626" w:sz="6" w:space="0"/>
            </w:tcBorders>
            <w:vAlign w:val="top"/>
          </w:tcPr>
          <w:p w14:paraId="327EEDAB">
            <w:pPr>
              <w:pStyle w:val="232"/>
              <w:spacing w:before="117" w:line="219" w:lineRule="auto"/>
              <w:ind w:left="812"/>
            </w:pPr>
            <w:r>
              <w:rPr>
                <w:spacing w:val="-2"/>
              </w:rPr>
              <w:t>并网电压等级</w:t>
            </w:r>
          </w:p>
        </w:tc>
        <w:tc>
          <w:tcPr>
            <w:tcW w:w="2685" w:type="dxa"/>
            <w:tcBorders>
              <w:top w:val="single" w:color="262626" w:sz="6" w:space="0"/>
              <w:right w:val="single" w:color="262626" w:sz="6" w:space="0"/>
            </w:tcBorders>
            <w:vAlign w:val="top"/>
          </w:tcPr>
          <w:p w14:paraId="1193AA33">
            <w:pPr>
              <w:pStyle w:val="232"/>
              <w:spacing w:before="169" w:line="221" w:lineRule="auto"/>
              <w:ind w:left="984"/>
            </w:pPr>
            <w:r>
              <w:rPr>
                <w:spacing w:val="-2"/>
              </w:rPr>
              <w:t>接入方式</w:t>
            </w:r>
          </w:p>
        </w:tc>
      </w:tr>
      <w:tr w14:paraId="26FCC44A">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0" w:type="dxa"/>
            <w:bottom w:w="0" w:type="dxa"/>
            <w:right w:w="0" w:type="dxa"/>
          </w:tblCellMar>
        </w:tblPrEx>
        <w:trPr>
          <w:trHeight w:val="401" w:hRule="atLeast"/>
        </w:trPr>
        <w:tc>
          <w:tcPr>
            <w:tcW w:w="2636" w:type="dxa"/>
            <w:tcBorders>
              <w:left w:val="single" w:color="262626" w:sz="6" w:space="0"/>
            </w:tcBorders>
            <w:vAlign w:val="top"/>
          </w:tcPr>
          <w:p w14:paraId="6860D975">
            <w:pPr>
              <w:pStyle w:val="232"/>
              <w:spacing w:before="114" w:line="221" w:lineRule="auto"/>
              <w:ind w:left="855"/>
            </w:pPr>
            <w:r>
              <w:rPr>
                <w:rFonts w:ascii="Times New Roman" w:hAnsi="Times New Roman" w:eastAsia="Times New Roman" w:cs="Times New Roman"/>
                <w:spacing w:val="-2"/>
              </w:rPr>
              <w:t xml:space="preserve">8kW </w:t>
            </w:r>
            <w:r>
              <w:rPr>
                <w:spacing w:val="-2"/>
              </w:rPr>
              <w:t>及以下</w:t>
            </w:r>
          </w:p>
        </w:tc>
        <w:tc>
          <w:tcPr>
            <w:tcW w:w="2689" w:type="dxa"/>
            <w:vAlign w:val="top"/>
          </w:tcPr>
          <w:p w14:paraId="7994ABE9">
            <w:pPr>
              <w:spacing w:before="197" w:line="192" w:lineRule="auto"/>
              <w:ind w:left="9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220V/380V</w:t>
            </w:r>
          </w:p>
        </w:tc>
        <w:tc>
          <w:tcPr>
            <w:tcW w:w="2685" w:type="dxa"/>
            <w:tcBorders>
              <w:right w:val="single" w:color="262626" w:sz="6" w:space="0"/>
            </w:tcBorders>
            <w:vAlign w:val="top"/>
          </w:tcPr>
          <w:p w14:paraId="222C2CD9">
            <w:pPr>
              <w:pStyle w:val="232"/>
              <w:spacing w:before="169" w:line="220" w:lineRule="auto"/>
              <w:ind w:left="895"/>
            </w:pPr>
            <w:r>
              <w:rPr>
                <w:spacing w:val="-2"/>
              </w:rPr>
              <w:t>单相或三相</w:t>
            </w:r>
          </w:p>
        </w:tc>
      </w:tr>
      <w:tr w14:paraId="5E39C9F6">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0" w:type="dxa"/>
            <w:bottom w:w="0" w:type="dxa"/>
            <w:right w:w="0" w:type="dxa"/>
          </w:tblCellMar>
        </w:tblPrEx>
        <w:trPr>
          <w:trHeight w:val="401" w:hRule="atLeast"/>
        </w:trPr>
        <w:tc>
          <w:tcPr>
            <w:tcW w:w="2636" w:type="dxa"/>
            <w:tcBorders>
              <w:left w:val="single" w:color="262626" w:sz="6" w:space="0"/>
            </w:tcBorders>
            <w:vAlign w:val="top"/>
          </w:tcPr>
          <w:p w14:paraId="20221B2C">
            <w:pPr>
              <w:spacing w:before="146" w:line="192" w:lineRule="auto"/>
              <w:ind w:left="7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8kW~</w:t>
            </w:r>
            <w:r>
              <w:rPr>
                <w:rFonts w:ascii="Times New Roman" w:hAnsi="Times New Roman" w:eastAsia="Times New Roman" w:cs="Times New Roman"/>
                <w:spacing w:val="-15"/>
                <w:sz w:val="18"/>
                <w:szCs w:val="18"/>
              </w:rPr>
              <w:t xml:space="preserve"> </w:t>
            </w:r>
            <w:r>
              <w:rPr>
                <w:rFonts w:ascii="Times New Roman" w:hAnsi="Times New Roman" w:eastAsia="Times New Roman" w:cs="Times New Roman"/>
                <w:spacing w:val="-4"/>
                <w:sz w:val="18"/>
                <w:szCs w:val="18"/>
              </w:rPr>
              <w:t>1000kW</w:t>
            </w:r>
          </w:p>
        </w:tc>
        <w:tc>
          <w:tcPr>
            <w:tcW w:w="2689" w:type="dxa"/>
            <w:vAlign w:val="top"/>
          </w:tcPr>
          <w:p w14:paraId="75954430">
            <w:pPr>
              <w:spacing w:before="205" w:line="188" w:lineRule="auto"/>
              <w:ind w:left="114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380V</w:t>
            </w:r>
          </w:p>
        </w:tc>
        <w:tc>
          <w:tcPr>
            <w:tcW w:w="2685" w:type="dxa"/>
            <w:tcBorders>
              <w:right w:val="single" w:color="262626" w:sz="6" w:space="0"/>
            </w:tcBorders>
            <w:vAlign w:val="top"/>
          </w:tcPr>
          <w:p w14:paraId="481BA21C">
            <w:pPr>
              <w:pStyle w:val="232"/>
              <w:spacing w:before="174" w:line="221" w:lineRule="auto"/>
              <w:ind w:left="1164"/>
            </w:pPr>
            <w:r>
              <w:rPr>
                <w:spacing w:val="-4"/>
              </w:rPr>
              <w:t>三相</w:t>
            </w:r>
          </w:p>
        </w:tc>
      </w:tr>
      <w:tr w14:paraId="0D9CEDB1">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0" w:type="dxa"/>
            <w:bottom w:w="0" w:type="dxa"/>
            <w:right w:w="0" w:type="dxa"/>
          </w:tblCellMar>
        </w:tblPrEx>
        <w:trPr>
          <w:trHeight w:val="416" w:hRule="atLeast"/>
        </w:trPr>
        <w:tc>
          <w:tcPr>
            <w:tcW w:w="2636" w:type="dxa"/>
            <w:tcBorders>
              <w:left w:val="single" w:color="262626" w:sz="6" w:space="0"/>
              <w:bottom w:val="single" w:color="262626" w:sz="6" w:space="0"/>
            </w:tcBorders>
            <w:vAlign w:val="top"/>
          </w:tcPr>
          <w:p w14:paraId="7916317F">
            <w:pPr>
              <w:spacing w:before="150" w:line="192" w:lineRule="auto"/>
              <w:ind w:left="79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500kW~5MW</w:t>
            </w:r>
          </w:p>
        </w:tc>
        <w:tc>
          <w:tcPr>
            <w:tcW w:w="2689" w:type="dxa"/>
            <w:tcBorders>
              <w:bottom w:val="single" w:color="262626" w:sz="6" w:space="0"/>
            </w:tcBorders>
            <w:vAlign w:val="top"/>
          </w:tcPr>
          <w:p w14:paraId="488D29AC">
            <w:pPr>
              <w:spacing w:before="150" w:line="192" w:lineRule="auto"/>
              <w:ind w:left="116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10kV</w:t>
            </w:r>
          </w:p>
        </w:tc>
        <w:tc>
          <w:tcPr>
            <w:tcW w:w="2685" w:type="dxa"/>
            <w:tcBorders>
              <w:bottom w:val="single" w:color="262626" w:sz="6" w:space="0"/>
              <w:right w:val="single" w:color="262626" w:sz="6" w:space="0"/>
            </w:tcBorders>
            <w:vAlign w:val="top"/>
          </w:tcPr>
          <w:p w14:paraId="036B409E">
            <w:pPr>
              <w:pStyle w:val="232"/>
              <w:spacing w:before="178" w:line="221" w:lineRule="auto"/>
              <w:ind w:left="1164"/>
            </w:pPr>
            <w:r>
              <w:rPr>
                <w:spacing w:val="-4"/>
              </w:rPr>
              <w:t>三相</w:t>
            </w:r>
          </w:p>
        </w:tc>
      </w:tr>
    </w:tbl>
    <w:p w14:paraId="5A0B3D37">
      <w:pPr>
        <w:pStyle w:val="163"/>
        <w:numPr>
          <w:ilvl w:val="-1"/>
          <w:numId w:val="0"/>
        </w:numPr>
        <w:jc w:val="center"/>
        <w:rPr>
          <w:b/>
          <w:bCs/>
          <w:spacing w:val="6"/>
          <w:sz w:val="20"/>
          <w:szCs w:val="20"/>
        </w:rPr>
      </w:pPr>
    </w:p>
    <w:p w14:paraId="6FE18A88">
      <w:pPr>
        <w:pStyle w:val="163"/>
        <w:numPr>
          <w:ilvl w:val="-1"/>
          <w:numId w:val="0"/>
        </w:numPr>
        <w:jc w:val="center"/>
        <w:rPr>
          <w:rFonts w:hint="eastAsia"/>
          <w:b/>
          <w:bCs/>
          <w:spacing w:val="6"/>
          <w:sz w:val="20"/>
          <w:szCs w:val="20"/>
        </w:rPr>
      </w:pPr>
    </w:p>
    <w:p w14:paraId="44114114">
      <w:pPr>
        <w:pStyle w:val="166"/>
        <w:rPr>
          <w:rFonts w:hint="eastAsia" w:ascii="宋体" w:eastAsia="宋体"/>
        </w:rPr>
      </w:pPr>
      <w:r>
        <w:rPr>
          <w:rFonts w:hint="eastAsia"/>
        </w:rPr>
        <w:t>电化学储能系统的容量配置计算应考虑电池的寿命特性、充放电特性及最佳充放电区间和经济性</w:t>
      </w:r>
      <w:r>
        <w:rPr>
          <w:rFonts w:hint="eastAsia"/>
          <w:lang w:eastAsia="zh-CN"/>
        </w:rPr>
        <w:t>。</w:t>
      </w:r>
    </w:p>
    <w:p w14:paraId="23339D86">
      <w:pPr>
        <w:pStyle w:val="166"/>
        <w:rPr>
          <w:rFonts w:hint="eastAsia" w:ascii="宋体" w:eastAsia="宋体"/>
        </w:rPr>
      </w:pPr>
      <w:r>
        <w:rPr>
          <w:rFonts w:hint="eastAsia"/>
        </w:rPr>
        <w:t>电化学储能系统的应用功能可包括：削峰填谷、跟踪计划出力、紧急电源支撑、需求响应</w:t>
      </w:r>
      <w:r>
        <w:rPr>
          <w:rFonts w:hint="eastAsia"/>
          <w:lang w:eastAsia="zh-CN"/>
        </w:rPr>
        <w:t>。</w:t>
      </w:r>
    </w:p>
    <w:p w14:paraId="553BFA62">
      <w:pPr>
        <w:pStyle w:val="166"/>
        <w:numPr>
          <w:ilvl w:val="0"/>
          <w:numId w:val="32"/>
        </w:numPr>
        <w:ind w:firstLine="420" w:firstLineChars="200"/>
        <w:rPr>
          <w:rFonts w:hint="eastAsia"/>
          <w:lang w:eastAsia="zh-CN"/>
        </w:rPr>
      </w:pPr>
      <w:r>
        <w:rPr>
          <w:rFonts w:hint="eastAsia"/>
        </w:rPr>
        <w:t>用于削峰填谷的电化学储能系统，应根据负荷实际情况和储能的运行方式等进行设定。储能容量宜按照变压器容量的5%-20%配置，或经过计算后确定</w:t>
      </w:r>
      <w:r>
        <w:rPr>
          <w:rFonts w:hint="eastAsia"/>
          <w:lang w:eastAsia="zh-CN"/>
        </w:rPr>
        <w:t>。</w:t>
      </w:r>
    </w:p>
    <w:p w14:paraId="7679305D">
      <w:pPr>
        <w:pStyle w:val="166"/>
        <w:numPr>
          <w:ilvl w:val="0"/>
          <w:numId w:val="32"/>
        </w:numPr>
        <w:ind w:firstLine="420" w:firstLineChars="200"/>
        <w:rPr>
          <w:rFonts w:hint="eastAsia"/>
          <w:lang w:val="en-US" w:eastAsia="zh-CN"/>
        </w:rPr>
      </w:pPr>
      <w:r>
        <w:rPr>
          <w:rFonts w:hint="eastAsia"/>
        </w:rPr>
        <w:t>用于跟踪计划出力的电化学储能系统，应满足调度计划功率曲线要求。储能容量应根据调度计划功率曲线、风光资源的历史输出特性和输出功率的季节差异等因素综合确定</w:t>
      </w:r>
      <w:r>
        <w:rPr>
          <w:rFonts w:hint="eastAsia"/>
          <w:lang w:eastAsia="zh-CN"/>
        </w:rPr>
        <w:t>。</w:t>
      </w:r>
    </w:p>
    <w:p w14:paraId="61C25D57">
      <w:pPr>
        <w:pStyle w:val="166"/>
        <w:numPr>
          <w:ilvl w:val="0"/>
          <w:numId w:val="32"/>
        </w:numPr>
        <w:ind w:firstLine="420" w:firstLineChars="200"/>
        <w:rPr>
          <w:rFonts w:hint="eastAsia"/>
          <w:lang w:val="en-US" w:eastAsia="zh-CN"/>
        </w:rPr>
      </w:pPr>
      <w:r>
        <w:rPr>
          <w:rFonts w:hint="eastAsia"/>
        </w:rPr>
        <w:t>用于紧急支撑电源的电化学储能系统，应满足重要负荷的供电需求。储能容量应根据重要负荷的功率和持续供电时间确定</w:t>
      </w:r>
      <w:r>
        <w:rPr>
          <w:rFonts w:hint="eastAsia"/>
          <w:lang w:eastAsia="zh-CN"/>
        </w:rPr>
        <w:t>。</w:t>
      </w:r>
    </w:p>
    <w:p w14:paraId="50496A35">
      <w:pPr>
        <w:pStyle w:val="166"/>
        <w:numPr>
          <w:ilvl w:val="0"/>
          <w:numId w:val="32"/>
        </w:numPr>
        <w:ind w:firstLine="420" w:firstLineChars="200"/>
        <w:rPr>
          <w:rFonts w:hint="eastAsia" w:ascii="黑体" w:eastAsia="黑体"/>
        </w:rPr>
      </w:pPr>
      <w:r>
        <w:rPr>
          <w:rFonts w:hint="eastAsia"/>
        </w:rPr>
        <w:t>用于需求响应的电化学储能系统，应满足下发的需求响应功率和时间要求。储能容量应根据自身运行策略、需求功率和时间、经济性综合确定</w:t>
      </w:r>
      <w:r>
        <w:rPr>
          <w:rFonts w:hint="eastAsia"/>
          <w:lang w:eastAsia="zh-CN"/>
        </w:rPr>
        <w:t>。</w:t>
      </w:r>
    </w:p>
    <w:p w14:paraId="6B78CEB3">
      <w:pPr>
        <w:pStyle w:val="163"/>
        <w:rPr>
          <w:rFonts w:hint="eastAsia" w:ascii="黑体" w:eastAsia="黑体"/>
        </w:rPr>
      </w:pPr>
      <w:r>
        <w:rPr>
          <w:rFonts w:hint="eastAsia" w:ascii="黑体" w:eastAsia="黑体"/>
        </w:rPr>
        <w:t>充换电设施接入</w:t>
      </w:r>
    </w:p>
    <w:p w14:paraId="293D3AD5">
      <w:pPr>
        <w:pStyle w:val="166"/>
        <w:rPr>
          <w:rFonts w:hint="eastAsia" w:ascii="宋体" w:eastAsia="宋体"/>
        </w:rPr>
      </w:pPr>
      <w:r>
        <w:rPr>
          <w:rFonts w:hint="eastAsia"/>
        </w:rPr>
        <w:t>电动汽车充换电设施接入配电网应符合《电动汽车充换电设施接入配电网技术规范》GB/T 36278 的相关规定</w:t>
      </w:r>
      <w:r>
        <w:rPr>
          <w:rFonts w:hint="eastAsia"/>
          <w:lang w:eastAsia="zh-CN"/>
        </w:rPr>
        <w:t>。</w:t>
      </w:r>
    </w:p>
    <w:p w14:paraId="0CEA67D1">
      <w:pPr>
        <w:pStyle w:val="166"/>
        <w:rPr>
          <w:rFonts w:hint="eastAsia" w:ascii="宋体" w:eastAsia="宋体"/>
        </w:rPr>
      </w:pPr>
      <w:r>
        <w:rPr>
          <w:rFonts w:hint="eastAsia"/>
        </w:rPr>
        <w:t>具有重大政治、经济、安全意义的充换电设施，或中断供电将对公共交通造成较大影响或影响重要单位正常工作的充换电设施，可作为二级重要用户；其他可作为一般用户</w:t>
      </w:r>
      <w:r>
        <w:rPr>
          <w:rFonts w:hint="eastAsia"/>
          <w:lang w:eastAsia="zh-CN"/>
        </w:rPr>
        <w:t>。</w:t>
      </w:r>
    </w:p>
    <w:p w14:paraId="605EB0DA">
      <w:pPr>
        <w:pStyle w:val="166"/>
        <w:rPr>
          <w:rFonts w:hint="eastAsia" w:ascii="宋体" w:eastAsia="宋体"/>
        </w:rPr>
      </w:pPr>
      <w:r>
        <w:rPr>
          <w:rFonts w:hint="eastAsia"/>
        </w:rPr>
        <w:t>接入电压等级应根据充电设备及辅助设备总容量，综合考虑需用系数、同时率等 因素，经过技术经济比较后确定。当供电距离较长，电能质量不满足要求时，应采用高一级电压供电。充换电设施宜采用的供电电压等级如表 1</w:t>
      </w:r>
      <w:r>
        <w:rPr>
          <w:rFonts w:hint="eastAsia"/>
          <w:lang w:val="en-US" w:eastAsia="zh-CN"/>
        </w:rPr>
        <w:t>1</w:t>
      </w:r>
      <w:r>
        <w:rPr>
          <w:rFonts w:hint="eastAsia"/>
        </w:rPr>
        <w:t>.</w:t>
      </w:r>
      <w:r>
        <w:rPr>
          <w:rFonts w:hint="eastAsia"/>
          <w:lang w:val="en-US" w:eastAsia="zh-CN"/>
        </w:rPr>
        <w:t>2</w:t>
      </w:r>
      <w:r>
        <w:rPr>
          <w:rFonts w:hint="eastAsia"/>
        </w:rPr>
        <w:t xml:space="preserve"> 所示。</w:t>
      </w:r>
    </w:p>
    <w:p w14:paraId="5C63CB03">
      <w:pPr>
        <w:pStyle w:val="166"/>
        <w:numPr>
          <w:ilvl w:val="-1"/>
          <w:numId w:val="0"/>
        </w:numPr>
        <w:jc w:val="center"/>
        <w:rPr>
          <w:b/>
          <w:bCs/>
          <w:spacing w:val="5"/>
          <w:sz w:val="20"/>
          <w:szCs w:val="20"/>
        </w:rPr>
      </w:pPr>
      <w:r>
        <w:rPr>
          <w:b/>
          <w:bCs/>
          <w:spacing w:val="6"/>
          <w:sz w:val="20"/>
          <w:szCs w:val="20"/>
        </w:rPr>
        <w:t>表</w:t>
      </w:r>
      <w:r>
        <w:rPr>
          <w:spacing w:val="-32"/>
          <w:sz w:val="20"/>
          <w:szCs w:val="20"/>
        </w:rPr>
        <w:t xml:space="preserve"> </w:t>
      </w:r>
      <w:r>
        <w:rPr>
          <w:rFonts w:ascii="Times New Roman" w:hAnsi="Times New Roman" w:eastAsia="Times New Roman" w:cs="Times New Roman"/>
          <w:b/>
          <w:bCs/>
          <w:spacing w:val="6"/>
          <w:sz w:val="20"/>
          <w:szCs w:val="20"/>
        </w:rPr>
        <w:t>1</w:t>
      </w:r>
      <w:r>
        <w:rPr>
          <w:rFonts w:hint="eastAsia" w:ascii="Times New Roman" w:hAnsi="Times New Roman" w:cs="Times New Roman"/>
          <w:b/>
          <w:bCs/>
          <w:spacing w:val="6"/>
          <w:sz w:val="20"/>
          <w:szCs w:val="20"/>
          <w:lang w:val="en-US" w:eastAsia="zh-CN"/>
        </w:rPr>
        <w:t>1</w:t>
      </w:r>
      <w:r>
        <w:rPr>
          <w:rFonts w:ascii="Times New Roman" w:hAnsi="Times New Roman" w:eastAsia="Times New Roman" w:cs="Times New Roman"/>
          <w:b/>
          <w:bCs/>
          <w:spacing w:val="6"/>
          <w:sz w:val="20"/>
          <w:szCs w:val="20"/>
        </w:rPr>
        <w:t>.</w:t>
      </w:r>
      <w:r>
        <w:rPr>
          <w:rFonts w:hint="eastAsia" w:ascii="Times New Roman" w:hAnsi="Times New Roman" w:cs="Times New Roman"/>
          <w:b/>
          <w:bCs/>
          <w:spacing w:val="6"/>
          <w:sz w:val="20"/>
          <w:szCs w:val="20"/>
          <w:lang w:val="en-US" w:eastAsia="zh-CN"/>
        </w:rPr>
        <w:t>2</w:t>
      </w:r>
      <w:r>
        <w:rPr>
          <w:rFonts w:ascii="Times New Roman" w:hAnsi="Times New Roman" w:eastAsia="Times New Roman" w:cs="Times New Roman"/>
          <w:b/>
          <w:bCs/>
          <w:spacing w:val="6"/>
          <w:sz w:val="20"/>
          <w:szCs w:val="20"/>
        </w:rPr>
        <w:t xml:space="preserve">    </w:t>
      </w:r>
      <w:r>
        <w:rPr>
          <w:b/>
          <w:bCs/>
          <w:spacing w:val="6"/>
          <w:sz w:val="20"/>
          <w:szCs w:val="20"/>
        </w:rPr>
        <w:t>充换电设施宜采用的供电</w:t>
      </w:r>
      <w:r>
        <w:rPr>
          <w:b/>
          <w:bCs/>
          <w:spacing w:val="5"/>
          <w:sz w:val="20"/>
          <w:szCs w:val="20"/>
        </w:rPr>
        <w:t>电压等级</w:t>
      </w:r>
    </w:p>
    <w:tbl>
      <w:tblPr>
        <w:tblStyle w:val="231"/>
        <w:tblW w:w="8010" w:type="dxa"/>
        <w:tblInd w:w="662" w:type="dxa"/>
        <w:tblBorders>
          <w:top w:val="single" w:color="262626" w:sz="6" w:space="0"/>
          <w:left w:val="single" w:color="262626" w:sz="6" w:space="0"/>
          <w:bottom w:val="single" w:color="262626" w:sz="6" w:space="0"/>
          <w:right w:val="single" w:color="262626" w:sz="6" w:space="0"/>
          <w:insideH w:val="single" w:color="262626" w:sz="6" w:space="0"/>
          <w:insideV w:val="single" w:color="262626" w:sz="6" w:space="0"/>
        </w:tblBorders>
        <w:tblLayout w:type="fixed"/>
        <w:tblCellMar>
          <w:top w:w="0" w:type="dxa"/>
          <w:left w:w="0" w:type="dxa"/>
          <w:bottom w:w="0" w:type="dxa"/>
          <w:right w:w="0" w:type="dxa"/>
        </w:tblCellMar>
      </w:tblPr>
      <w:tblGrid>
        <w:gridCol w:w="2636"/>
        <w:gridCol w:w="2689"/>
        <w:gridCol w:w="2685"/>
      </w:tblGrid>
      <w:tr w14:paraId="56EE4782">
        <w:tblPrEx>
          <w:tblBorders>
            <w:top w:val="single" w:color="262626" w:sz="6" w:space="0"/>
            <w:left w:val="single" w:color="262626" w:sz="6" w:space="0"/>
            <w:bottom w:val="single" w:color="262626" w:sz="6" w:space="0"/>
            <w:right w:val="single" w:color="262626" w:sz="6" w:space="0"/>
            <w:insideH w:val="single" w:color="262626" w:sz="6" w:space="0"/>
            <w:insideV w:val="single" w:color="262626" w:sz="6" w:space="0"/>
          </w:tblBorders>
          <w:tblCellMar>
            <w:top w:w="0" w:type="dxa"/>
            <w:left w:w="0" w:type="dxa"/>
            <w:bottom w:w="0" w:type="dxa"/>
            <w:right w:w="0" w:type="dxa"/>
          </w:tblCellMar>
        </w:tblPrEx>
        <w:trPr>
          <w:trHeight w:val="407" w:hRule="atLeast"/>
        </w:trPr>
        <w:tc>
          <w:tcPr>
            <w:tcW w:w="2636" w:type="dxa"/>
            <w:tcBorders>
              <w:right w:val="single" w:color="262626" w:sz="2" w:space="0"/>
            </w:tcBorders>
            <w:vAlign w:val="top"/>
          </w:tcPr>
          <w:p w14:paraId="1D856C7C">
            <w:pPr>
              <w:pStyle w:val="232"/>
              <w:spacing w:before="115" w:line="219" w:lineRule="auto"/>
              <w:ind w:left="780"/>
            </w:pPr>
            <w:r>
              <w:rPr>
                <w:spacing w:val="-2"/>
              </w:rPr>
              <w:t>供电电压等级</w:t>
            </w:r>
          </w:p>
        </w:tc>
        <w:tc>
          <w:tcPr>
            <w:tcW w:w="2689" w:type="dxa"/>
            <w:tcBorders>
              <w:left w:val="single" w:color="262626" w:sz="2" w:space="0"/>
              <w:right w:val="single" w:color="262626" w:sz="2" w:space="0"/>
            </w:tcBorders>
            <w:vAlign w:val="top"/>
          </w:tcPr>
          <w:p w14:paraId="6175FE61">
            <w:pPr>
              <w:pStyle w:val="232"/>
              <w:spacing w:before="115" w:line="220" w:lineRule="auto"/>
              <w:ind w:left="721"/>
            </w:pPr>
            <w:r>
              <w:rPr>
                <w:spacing w:val="-2"/>
              </w:rPr>
              <w:t>充换设备及辅助</w:t>
            </w:r>
          </w:p>
        </w:tc>
        <w:tc>
          <w:tcPr>
            <w:tcW w:w="2685" w:type="dxa"/>
            <w:tcBorders>
              <w:left w:val="single" w:color="262626" w:sz="2" w:space="0"/>
            </w:tcBorders>
            <w:vAlign w:val="top"/>
          </w:tcPr>
          <w:p w14:paraId="20368CC1">
            <w:pPr>
              <w:pStyle w:val="232"/>
              <w:spacing w:before="171" w:line="220" w:lineRule="auto"/>
              <w:ind w:left="717"/>
            </w:pPr>
            <w:r>
              <w:rPr>
                <w:spacing w:val="-2"/>
              </w:rPr>
              <w:t>受电变压器容量</w:t>
            </w:r>
          </w:p>
        </w:tc>
      </w:tr>
      <w:tr w14:paraId="275FDADA">
        <w:tblPrEx>
          <w:tblBorders>
            <w:top w:val="single" w:color="262626" w:sz="6" w:space="0"/>
            <w:left w:val="single" w:color="262626" w:sz="6" w:space="0"/>
            <w:bottom w:val="single" w:color="262626" w:sz="6" w:space="0"/>
            <w:right w:val="single" w:color="262626" w:sz="6" w:space="0"/>
            <w:insideH w:val="single" w:color="262626" w:sz="6" w:space="0"/>
            <w:insideV w:val="single" w:color="262626" w:sz="6" w:space="0"/>
          </w:tblBorders>
          <w:tblCellMar>
            <w:top w:w="0" w:type="dxa"/>
            <w:left w:w="0" w:type="dxa"/>
            <w:bottom w:w="0" w:type="dxa"/>
            <w:right w:w="0" w:type="dxa"/>
          </w:tblCellMar>
        </w:tblPrEx>
        <w:trPr>
          <w:trHeight w:val="407" w:hRule="atLeast"/>
        </w:trPr>
        <w:tc>
          <w:tcPr>
            <w:tcW w:w="2636" w:type="dxa"/>
            <w:tcBorders>
              <w:right w:val="single" w:color="262626" w:sz="2" w:space="0"/>
            </w:tcBorders>
            <w:vAlign w:val="top"/>
          </w:tcPr>
          <w:p w14:paraId="4A11671D">
            <w:pPr>
              <w:spacing w:before="145" w:line="188" w:lineRule="auto"/>
              <w:ind w:left="1115" w:leftChars="0"/>
              <w:rPr>
                <w:rFonts w:ascii="Times New Roman" w:hAnsi="Times New Roman" w:eastAsia="Times New Roman" w:cs="Times New Roman"/>
                <w:kern w:val="2"/>
                <w:sz w:val="18"/>
                <w:szCs w:val="18"/>
                <w:lang w:val="en-US" w:eastAsia="zh-CN" w:bidi="ar-SA"/>
              </w:rPr>
            </w:pPr>
            <w:r>
              <w:rPr>
                <w:rFonts w:ascii="Times New Roman" w:hAnsi="Times New Roman" w:eastAsia="Times New Roman" w:cs="Times New Roman"/>
                <w:spacing w:val="-1"/>
                <w:sz w:val="18"/>
                <w:szCs w:val="18"/>
              </w:rPr>
              <w:t>220V</w:t>
            </w:r>
          </w:p>
        </w:tc>
        <w:tc>
          <w:tcPr>
            <w:tcW w:w="2689" w:type="dxa"/>
            <w:tcBorders>
              <w:left w:val="single" w:color="262626" w:sz="2" w:space="0"/>
              <w:right w:val="single" w:color="262626" w:sz="2" w:space="0"/>
            </w:tcBorders>
            <w:vAlign w:val="top"/>
          </w:tcPr>
          <w:p w14:paraId="43B283A8">
            <w:pPr>
              <w:pStyle w:val="232"/>
              <w:spacing w:before="171" w:line="220" w:lineRule="auto"/>
              <w:ind w:left="488" w:leftChars="0"/>
              <w:rPr>
                <w:rFonts w:ascii="宋体" w:hAnsi="宋体" w:eastAsia="宋体" w:cs="宋体"/>
                <w:kern w:val="2"/>
                <w:sz w:val="18"/>
                <w:szCs w:val="18"/>
                <w:lang w:val="en-US" w:eastAsia="en-US" w:bidi="ar-SA"/>
              </w:rPr>
            </w:pPr>
            <w:r>
              <w:rPr>
                <w:rFonts w:ascii="Times New Roman" w:hAnsi="Times New Roman" w:eastAsia="Times New Roman" w:cs="Times New Roman"/>
                <w:spacing w:val="-2"/>
              </w:rPr>
              <w:t xml:space="preserve">10kW </w:t>
            </w:r>
            <w:r>
              <w:rPr>
                <w:spacing w:val="-2"/>
              </w:rPr>
              <w:t>及以下单相设备</w:t>
            </w:r>
          </w:p>
        </w:tc>
        <w:tc>
          <w:tcPr>
            <w:tcW w:w="2685" w:type="dxa"/>
            <w:tcBorders>
              <w:left w:val="single" w:color="262626" w:sz="2" w:space="0"/>
            </w:tcBorders>
            <w:vAlign w:val="top"/>
          </w:tcPr>
          <w:p w14:paraId="1EB06C6D">
            <w:pPr>
              <w:spacing w:before="276" w:line="86" w:lineRule="exact"/>
              <w:ind w:left="1313" w:leftChars="0"/>
              <w:rPr>
                <w:rFonts w:ascii="Times New Roman" w:hAnsi="Times New Roman" w:eastAsia="Times New Roman" w:cs="Times New Roman"/>
                <w:kern w:val="2"/>
                <w:sz w:val="18"/>
                <w:szCs w:val="18"/>
                <w:lang w:val="en-US" w:eastAsia="zh-CN" w:bidi="ar-SA"/>
              </w:rPr>
            </w:pPr>
            <w:r>
              <w:rPr>
                <w:rFonts w:ascii="Times New Roman" w:hAnsi="Times New Roman" w:eastAsia="Times New Roman" w:cs="Times New Roman"/>
                <w:position w:val="-1"/>
                <w:sz w:val="18"/>
                <w:szCs w:val="18"/>
              </w:rPr>
              <w:t>-</w:t>
            </w:r>
          </w:p>
        </w:tc>
      </w:tr>
      <w:tr w14:paraId="4C99E930">
        <w:tblPrEx>
          <w:tblBorders>
            <w:top w:val="single" w:color="262626" w:sz="6" w:space="0"/>
            <w:left w:val="single" w:color="262626" w:sz="6" w:space="0"/>
            <w:bottom w:val="single" w:color="262626" w:sz="6" w:space="0"/>
            <w:right w:val="single" w:color="262626" w:sz="6" w:space="0"/>
            <w:insideH w:val="single" w:color="262626" w:sz="6" w:space="0"/>
            <w:insideV w:val="single" w:color="262626" w:sz="6" w:space="0"/>
          </w:tblBorders>
          <w:tblCellMar>
            <w:top w:w="0" w:type="dxa"/>
            <w:left w:w="0" w:type="dxa"/>
            <w:bottom w:w="0" w:type="dxa"/>
            <w:right w:w="0" w:type="dxa"/>
          </w:tblCellMar>
        </w:tblPrEx>
        <w:trPr>
          <w:trHeight w:val="407" w:hRule="atLeast"/>
        </w:trPr>
        <w:tc>
          <w:tcPr>
            <w:tcW w:w="2636" w:type="dxa"/>
            <w:tcBorders>
              <w:right w:val="single" w:color="262626" w:sz="2" w:space="0"/>
            </w:tcBorders>
            <w:vAlign w:val="top"/>
          </w:tcPr>
          <w:p w14:paraId="37BF9049">
            <w:pPr>
              <w:spacing w:before="145" w:line="188" w:lineRule="auto"/>
              <w:ind w:left="1118" w:leftChars="0"/>
              <w:rPr>
                <w:rFonts w:ascii="Times New Roman" w:hAnsi="Times New Roman" w:eastAsia="Times New Roman" w:cs="Times New Roman"/>
                <w:kern w:val="2"/>
                <w:sz w:val="18"/>
                <w:szCs w:val="18"/>
                <w:lang w:val="en-US" w:eastAsia="zh-CN" w:bidi="ar-SA"/>
              </w:rPr>
            </w:pPr>
            <w:r>
              <w:rPr>
                <w:rFonts w:ascii="Times New Roman" w:hAnsi="Times New Roman" w:eastAsia="Times New Roman" w:cs="Times New Roman"/>
                <w:spacing w:val="-2"/>
                <w:sz w:val="18"/>
                <w:szCs w:val="18"/>
              </w:rPr>
              <w:t>380V</w:t>
            </w:r>
          </w:p>
        </w:tc>
        <w:tc>
          <w:tcPr>
            <w:tcW w:w="2689" w:type="dxa"/>
            <w:tcBorders>
              <w:left w:val="single" w:color="262626" w:sz="2" w:space="0"/>
              <w:right w:val="single" w:color="262626" w:sz="2" w:space="0"/>
            </w:tcBorders>
            <w:vAlign w:val="top"/>
          </w:tcPr>
          <w:p w14:paraId="5751798A">
            <w:pPr>
              <w:pStyle w:val="232"/>
              <w:spacing w:before="171" w:line="221" w:lineRule="auto"/>
              <w:ind w:left="805" w:leftChars="0"/>
              <w:rPr>
                <w:rFonts w:ascii="宋体" w:hAnsi="宋体" w:eastAsia="宋体" w:cs="宋体"/>
                <w:kern w:val="2"/>
                <w:sz w:val="18"/>
                <w:szCs w:val="18"/>
                <w:lang w:val="en-US" w:eastAsia="en-US" w:bidi="ar-SA"/>
              </w:rPr>
            </w:pPr>
            <w:r>
              <w:rPr>
                <w:rFonts w:ascii="Times New Roman" w:hAnsi="Times New Roman" w:eastAsia="Times New Roman" w:cs="Times New Roman"/>
                <w:spacing w:val="-3"/>
              </w:rPr>
              <w:t xml:space="preserve">100kW </w:t>
            </w:r>
            <w:r>
              <w:rPr>
                <w:spacing w:val="-3"/>
              </w:rPr>
              <w:t>及以下</w:t>
            </w:r>
          </w:p>
        </w:tc>
        <w:tc>
          <w:tcPr>
            <w:tcW w:w="2685" w:type="dxa"/>
            <w:tcBorders>
              <w:left w:val="single" w:color="262626" w:sz="2" w:space="0"/>
            </w:tcBorders>
            <w:vAlign w:val="top"/>
          </w:tcPr>
          <w:p w14:paraId="14330C58">
            <w:pPr>
              <w:pStyle w:val="232"/>
              <w:spacing w:before="171" w:line="221" w:lineRule="auto"/>
              <w:ind w:left="787" w:leftChars="0"/>
              <w:rPr>
                <w:rFonts w:ascii="宋体" w:hAnsi="宋体" w:eastAsia="宋体" w:cs="宋体"/>
                <w:kern w:val="2"/>
                <w:sz w:val="18"/>
                <w:szCs w:val="18"/>
                <w:lang w:val="en-US" w:eastAsia="en-US" w:bidi="ar-SA"/>
              </w:rPr>
            </w:pPr>
            <w:r>
              <w:rPr>
                <w:rFonts w:ascii="Times New Roman" w:hAnsi="Times New Roman" w:eastAsia="Times New Roman" w:cs="Times New Roman"/>
                <w:spacing w:val="-1"/>
              </w:rPr>
              <w:t xml:space="preserve">50kVA </w:t>
            </w:r>
            <w:r>
              <w:rPr>
                <w:spacing w:val="-1"/>
              </w:rPr>
              <w:t>及以下</w:t>
            </w:r>
          </w:p>
        </w:tc>
      </w:tr>
      <w:tr w14:paraId="06C12E48">
        <w:tblPrEx>
          <w:tblBorders>
            <w:top w:val="single" w:color="262626" w:sz="6" w:space="0"/>
            <w:left w:val="single" w:color="262626" w:sz="6" w:space="0"/>
            <w:bottom w:val="single" w:color="262626" w:sz="6" w:space="0"/>
            <w:right w:val="single" w:color="262626" w:sz="6" w:space="0"/>
            <w:insideH w:val="single" w:color="262626" w:sz="6" w:space="0"/>
            <w:insideV w:val="single" w:color="262626" w:sz="6" w:space="0"/>
          </w:tblBorders>
          <w:tblCellMar>
            <w:top w:w="0" w:type="dxa"/>
            <w:left w:w="0" w:type="dxa"/>
            <w:bottom w:w="0" w:type="dxa"/>
            <w:right w:w="0" w:type="dxa"/>
          </w:tblCellMar>
        </w:tblPrEx>
        <w:trPr>
          <w:trHeight w:val="407" w:hRule="atLeast"/>
        </w:trPr>
        <w:tc>
          <w:tcPr>
            <w:tcW w:w="2636" w:type="dxa"/>
            <w:tcBorders>
              <w:right w:val="single" w:color="262626" w:sz="2" w:space="0"/>
            </w:tcBorders>
            <w:vAlign w:val="top"/>
          </w:tcPr>
          <w:p w14:paraId="6AED9022">
            <w:pPr>
              <w:spacing w:before="147" w:line="192" w:lineRule="auto"/>
              <w:ind w:left="1132" w:leftChars="0"/>
              <w:rPr>
                <w:rFonts w:ascii="Times New Roman" w:hAnsi="Times New Roman" w:eastAsia="Times New Roman" w:cs="Times New Roman"/>
                <w:kern w:val="2"/>
                <w:sz w:val="18"/>
                <w:szCs w:val="18"/>
                <w:lang w:val="en-US" w:eastAsia="zh-CN" w:bidi="ar-SA"/>
              </w:rPr>
            </w:pPr>
            <w:r>
              <w:rPr>
                <w:rFonts w:ascii="Times New Roman" w:hAnsi="Times New Roman" w:eastAsia="Times New Roman" w:cs="Times New Roman"/>
                <w:spacing w:val="-5"/>
                <w:sz w:val="18"/>
                <w:szCs w:val="18"/>
              </w:rPr>
              <w:t>10kV</w:t>
            </w:r>
          </w:p>
        </w:tc>
        <w:tc>
          <w:tcPr>
            <w:tcW w:w="2689" w:type="dxa"/>
            <w:tcBorders>
              <w:left w:val="single" w:color="262626" w:sz="2" w:space="0"/>
              <w:right w:val="single" w:color="262626" w:sz="2" w:space="0"/>
            </w:tcBorders>
            <w:vAlign w:val="top"/>
          </w:tcPr>
          <w:p w14:paraId="3F41EA72">
            <w:pPr>
              <w:spacing w:before="226" w:line="87" w:lineRule="exact"/>
              <w:ind w:left="1319" w:leftChars="0"/>
              <w:rPr>
                <w:rFonts w:ascii="Times New Roman" w:hAnsi="Times New Roman" w:eastAsia="Times New Roman" w:cs="Times New Roman"/>
                <w:kern w:val="2"/>
                <w:sz w:val="18"/>
                <w:szCs w:val="18"/>
                <w:lang w:val="en-US" w:eastAsia="zh-CN" w:bidi="ar-SA"/>
              </w:rPr>
            </w:pPr>
            <w:r>
              <w:rPr>
                <w:rFonts w:ascii="Times New Roman" w:hAnsi="Times New Roman" w:eastAsia="Times New Roman" w:cs="Times New Roman"/>
                <w:position w:val="-1"/>
                <w:sz w:val="18"/>
                <w:szCs w:val="18"/>
              </w:rPr>
              <w:t>-</w:t>
            </w:r>
          </w:p>
        </w:tc>
        <w:tc>
          <w:tcPr>
            <w:tcW w:w="2685" w:type="dxa"/>
            <w:tcBorders>
              <w:left w:val="single" w:color="262626" w:sz="2" w:space="0"/>
            </w:tcBorders>
            <w:vAlign w:val="top"/>
          </w:tcPr>
          <w:p w14:paraId="63612391">
            <w:pPr>
              <w:spacing w:before="202" w:line="192" w:lineRule="auto"/>
              <w:ind w:left="732" w:leftChars="0"/>
              <w:rPr>
                <w:rFonts w:ascii="Times New Roman" w:hAnsi="Times New Roman" w:eastAsia="Times New Roman" w:cs="Times New Roman"/>
                <w:kern w:val="2"/>
                <w:sz w:val="18"/>
                <w:szCs w:val="18"/>
                <w:lang w:val="en-US" w:eastAsia="zh-CN" w:bidi="ar-SA"/>
              </w:rPr>
            </w:pPr>
            <w:r>
              <w:rPr>
                <w:rFonts w:ascii="Times New Roman" w:hAnsi="Times New Roman" w:eastAsia="Times New Roman" w:cs="Times New Roman"/>
                <w:spacing w:val="-3"/>
                <w:sz w:val="18"/>
                <w:szCs w:val="18"/>
              </w:rPr>
              <w:t>50kVA~</w:t>
            </w:r>
            <w:r>
              <w:rPr>
                <w:rFonts w:ascii="Times New Roman" w:hAnsi="Times New Roman" w:eastAsia="Times New Roman" w:cs="Times New Roman"/>
                <w:spacing w:val="-20"/>
                <w:sz w:val="18"/>
                <w:szCs w:val="18"/>
              </w:rPr>
              <w:t xml:space="preserve"> </w:t>
            </w:r>
            <w:r>
              <w:rPr>
                <w:rFonts w:ascii="Times New Roman" w:hAnsi="Times New Roman" w:eastAsia="Times New Roman" w:cs="Times New Roman"/>
                <w:spacing w:val="-3"/>
                <w:sz w:val="18"/>
                <w:szCs w:val="18"/>
              </w:rPr>
              <w:t>10MVA</w:t>
            </w:r>
          </w:p>
        </w:tc>
      </w:tr>
    </w:tbl>
    <w:p w14:paraId="278D9DDE">
      <w:pPr>
        <w:pStyle w:val="166"/>
        <w:numPr>
          <w:ilvl w:val="-1"/>
          <w:numId w:val="0"/>
        </w:numPr>
        <w:jc w:val="center"/>
        <w:rPr>
          <w:rFonts w:hint="eastAsia"/>
          <w:b/>
          <w:bCs/>
          <w:spacing w:val="5"/>
          <w:sz w:val="20"/>
          <w:szCs w:val="20"/>
        </w:rPr>
      </w:pPr>
    </w:p>
    <w:p w14:paraId="27CCB1E1">
      <w:pPr>
        <w:pStyle w:val="166"/>
        <w:rPr>
          <w:rFonts w:hint="eastAsia"/>
        </w:rPr>
      </w:pPr>
      <w:r>
        <w:rPr>
          <w:rFonts w:hint="eastAsia"/>
        </w:rPr>
        <w:t>220V 充电设备宜接入低压配电箱；380V 充电设备宜通过专用线路接入低压配电室。接入10kV 的充换电设施，容量小于 4000kVA 的宜接入公用电网 10kV 线路或环网柜、电缆分支箱、开关站等，容量大于 4000kVA 的充换电设施宜专线接入</w:t>
      </w:r>
      <w:r>
        <w:rPr>
          <w:rFonts w:hint="eastAsia"/>
          <w:lang w:eastAsia="zh-CN"/>
        </w:rPr>
        <w:t>。</w:t>
      </w:r>
    </w:p>
    <w:p w14:paraId="40A3067E">
      <w:pPr>
        <w:pStyle w:val="105"/>
        <w:bidi w:val="0"/>
        <w:ind w:left="0" w:leftChars="0" w:firstLine="0" w:firstLineChars="0"/>
      </w:pPr>
      <w:r>
        <w:rPr>
          <w:rFonts w:hint="eastAsia"/>
          <w:lang w:eastAsia="zh-CN"/>
        </w:rPr>
        <w:t>电能质量</w:t>
      </w:r>
    </w:p>
    <w:p w14:paraId="1B3FCDD5">
      <w:pPr>
        <w:pStyle w:val="163"/>
        <w:rPr>
          <w:rFonts w:hint="eastAsia" w:ascii="黑体" w:eastAsia="黑体"/>
        </w:rPr>
      </w:pPr>
      <w:r>
        <w:rPr>
          <w:rFonts w:hint="eastAsia" w:ascii="黑体" w:eastAsia="黑体"/>
        </w:rPr>
        <w:t>供电电压偏差</w:t>
      </w:r>
    </w:p>
    <w:p w14:paraId="07606276">
      <w:pPr>
        <w:pStyle w:val="166"/>
        <w:rPr>
          <w:rFonts w:hint="eastAsia" w:ascii="宋体" w:eastAsia="宋体"/>
        </w:rPr>
      </w:pPr>
      <w:r>
        <w:rPr>
          <w:rFonts w:hint="eastAsia"/>
          <w:lang w:eastAsia="zh-CN"/>
        </w:rPr>
        <w:t>高标准基本农田中低压配电网</w:t>
      </w:r>
      <w:r>
        <w:rPr>
          <w:rFonts w:hint="eastAsia"/>
        </w:rPr>
        <w:t>规划要保证网络中各节点满足电压损失及其分配要求，各类用户受电电压质量应符合《电能质量供电电压偏差》GB/T 12325 的规定</w:t>
      </w:r>
      <w:r>
        <w:rPr>
          <w:rFonts w:hint="eastAsia"/>
          <w:lang w:eastAsia="zh-CN"/>
        </w:rPr>
        <w:t>。</w:t>
      </w:r>
    </w:p>
    <w:p w14:paraId="54C6A1F5">
      <w:pPr>
        <w:pStyle w:val="166"/>
        <w:rPr>
          <w:rFonts w:hint="eastAsia" w:ascii="宋体" w:eastAsia="宋体"/>
        </w:rPr>
      </w:pPr>
      <w:r>
        <w:rPr>
          <w:rFonts w:hint="eastAsia"/>
        </w:rPr>
        <w:t>供电点短路容量较小，供电距离较长，以及对供电电压偏差有特殊要求的用户，由供用电双方协议确定</w:t>
      </w:r>
      <w:r>
        <w:rPr>
          <w:rFonts w:hint="eastAsia"/>
          <w:lang w:eastAsia="zh-CN"/>
        </w:rPr>
        <w:t>。</w:t>
      </w:r>
    </w:p>
    <w:p w14:paraId="3C3342C2">
      <w:pPr>
        <w:pStyle w:val="166"/>
        <w:rPr>
          <w:rFonts w:hint="eastAsia" w:ascii="宋体" w:eastAsia="宋体"/>
        </w:rPr>
      </w:pPr>
      <w:r>
        <w:rPr>
          <w:rFonts w:hint="eastAsia"/>
          <w:lang w:eastAsia="zh-CN"/>
        </w:rPr>
        <w:t>高标准基本农田中低压配电网</w:t>
      </w:r>
      <w:r>
        <w:rPr>
          <w:rFonts w:hint="eastAsia"/>
        </w:rPr>
        <w:t>应有足够的电压调节能力，维持合理的电压水平，电压调节方式可采用：</w:t>
      </w:r>
    </w:p>
    <w:p w14:paraId="310D80A0">
      <w:pPr>
        <w:pStyle w:val="57"/>
        <w:numPr>
          <w:ilvl w:val="0"/>
          <w:numId w:val="33"/>
        </w:numPr>
        <w:rPr>
          <w:rFonts w:hint="eastAsia"/>
          <w:lang w:eastAsia="zh-CN"/>
        </w:rPr>
      </w:pPr>
      <w:r>
        <w:rPr>
          <w:rFonts w:hint="eastAsia"/>
        </w:rPr>
        <w:t>通过配置无功补偿装置进行电压调节</w:t>
      </w:r>
      <w:r>
        <w:rPr>
          <w:rFonts w:hint="eastAsia"/>
          <w:lang w:eastAsia="zh-CN"/>
        </w:rPr>
        <w:t>；</w:t>
      </w:r>
    </w:p>
    <w:p w14:paraId="6D224DB1">
      <w:pPr>
        <w:pStyle w:val="57"/>
        <w:numPr>
          <w:ilvl w:val="0"/>
          <w:numId w:val="33"/>
        </w:numPr>
        <w:rPr>
          <w:rFonts w:hint="eastAsia"/>
          <w:lang w:val="en-US" w:eastAsia="zh-CN"/>
        </w:rPr>
      </w:pPr>
      <w:r>
        <w:rPr>
          <w:rFonts w:hint="eastAsia"/>
        </w:rPr>
        <w:t>通过改变变压器分接头进行电压调节</w:t>
      </w:r>
      <w:r>
        <w:rPr>
          <w:rFonts w:hint="eastAsia"/>
          <w:lang w:eastAsia="zh-CN"/>
        </w:rPr>
        <w:t>；</w:t>
      </w:r>
    </w:p>
    <w:p w14:paraId="164E2F0D">
      <w:pPr>
        <w:pStyle w:val="57"/>
        <w:numPr>
          <w:ilvl w:val="0"/>
          <w:numId w:val="33"/>
        </w:numPr>
        <w:rPr>
          <w:rFonts w:hint="eastAsia" w:ascii="宋体" w:eastAsia="宋体"/>
        </w:rPr>
      </w:pPr>
      <w:r>
        <w:rPr>
          <w:rFonts w:hint="eastAsia"/>
        </w:rPr>
        <w:t>通过调压器或具备无功调节能力的电源进行电压调节</w:t>
      </w:r>
      <w:r>
        <w:rPr>
          <w:rFonts w:hint="eastAsia"/>
          <w:lang w:eastAsia="zh-CN"/>
        </w:rPr>
        <w:t>。</w:t>
      </w:r>
    </w:p>
    <w:p w14:paraId="1D5D9827">
      <w:pPr>
        <w:pStyle w:val="166"/>
        <w:rPr>
          <w:rFonts w:hint="eastAsia" w:ascii="宋体" w:eastAsia="宋体"/>
        </w:rPr>
      </w:pPr>
      <w:r>
        <w:rPr>
          <w:rFonts w:hint="eastAsia"/>
        </w:rPr>
        <w:t>对于通过调节电压方式无法解决低电压的供电台区，宜有针对性的采用缩短中压线路供电距离、切改负荷、新增配变布点、改造配变及低压线路、加装线路调压器等措施解决</w:t>
      </w:r>
      <w:r>
        <w:rPr>
          <w:rFonts w:hint="eastAsia"/>
          <w:lang w:eastAsia="zh-CN"/>
        </w:rPr>
        <w:t>。</w:t>
      </w:r>
    </w:p>
    <w:p w14:paraId="13042122">
      <w:pPr>
        <w:pStyle w:val="166"/>
        <w:rPr>
          <w:rFonts w:hint="eastAsia" w:ascii="宋体" w:eastAsia="宋体"/>
        </w:rPr>
      </w:pPr>
      <w:r>
        <w:rPr>
          <w:rFonts w:hint="eastAsia"/>
        </w:rPr>
        <w:t>对于工业园区或负荷较大的用户，当电能质量不满足要求时，可采用高一级电压供电</w:t>
      </w:r>
      <w:r>
        <w:rPr>
          <w:rFonts w:hint="eastAsia"/>
          <w:lang w:eastAsia="zh-CN"/>
        </w:rPr>
        <w:t>。</w:t>
      </w:r>
    </w:p>
    <w:p w14:paraId="5D37E961">
      <w:pPr>
        <w:pStyle w:val="163"/>
        <w:rPr>
          <w:rFonts w:hint="eastAsia" w:ascii="黑体" w:eastAsia="黑体"/>
        </w:rPr>
      </w:pPr>
      <w:r>
        <w:rPr>
          <w:rFonts w:hint="eastAsia" w:ascii="黑体" w:eastAsia="黑体"/>
        </w:rPr>
        <w:t>谐波治理</w:t>
      </w:r>
    </w:p>
    <w:p w14:paraId="123B33AC">
      <w:pPr>
        <w:pStyle w:val="166"/>
        <w:rPr>
          <w:rFonts w:hint="eastAsia" w:ascii="宋体" w:eastAsia="宋体"/>
        </w:rPr>
      </w:pPr>
      <w:r>
        <w:rPr>
          <w:rFonts w:hint="eastAsia"/>
        </w:rPr>
        <w:t>电网公共连接点的谐波电压和用户（或设备）注入电网的谐波电流应符合《电能质量公用电网谐波》GB/T 14549 的要求，谐波电压应符合《电能质量 公用电网间谐波》  GB/T 24337 的规定。需要降低或控制接入公共电网的谐波和公共连接电电压正弦畸变率时，宜采取装设滤波器等措施进行改善</w:t>
      </w:r>
      <w:r>
        <w:rPr>
          <w:rFonts w:hint="eastAsia"/>
          <w:lang w:eastAsia="zh-CN"/>
        </w:rPr>
        <w:t>。</w:t>
      </w:r>
    </w:p>
    <w:p w14:paraId="18360E8D">
      <w:pPr>
        <w:pStyle w:val="166"/>
        <w:rPr>
          <w:rFonts w:hint="eastAsia" w:ascii="宋体" w:eastAsia="宋体"/>
        </w:rPr>
      </w:pPr>
      <w:r>
        <w:rPr>
          <w:rFonts w:hint="eastAsia"/>
        </w:rPr>
        <w:t>用户或设备因畸变负荷、冲击负荷、波动负荷和不对称负荷对公用电网造成污染的，应按照“谁污染、谁治理 ”和“ 同步设计、同步施工、同步投运、同步达标”的原则，在开展项目前期工作时同步提出治理、监测和控制措施</w:t>
      </w:r>
    </w:p>
    <w:p w14:paraId="5E35F9BD">
      <w:pPr>
        <w:pStyle w:val="163"/>
        <w:rPr>
          <w:rFonts w:hint="eastAsia" w:ascii="黑体" w:eastAsia="黑体"/>
        </w:rPr>
      </w:pPr>
      <w:r>
        <w:rPr>
          <w:rFonts w:hint="eastAsia" w:ascii="黑体" w:eastAsia="黑体"/>
        </w:rPr>
        <w:t>功率因数及无功补偿</w:t>
      </w:r>
    </w:p>
    <w:p w14:paraId="3B86EF0D">
      <w:pPr>
        <w:pStyle w:val="166"/>
        <w:rPr>
          <w:rFonts w:hint="eastAsia" w:ascii="宋体" w:eastAsia="宋体"/>
        </w:rPr>
      </w:pPr>
      <w:r>
        <w:rPr>
          <w:rFonts w:hint="eastAsia"/>
        </w:rPr>
        <w:t>受电变压器总容量 100kVA 及以上的用户，在高峰负荷时的功率因数不宜低于0.95；其他用户和大、中型电力排灌站，功率因数不宜低于0.90；农业用电功率因数不宜低于0.85</w:t>
      </w:r>
      <w:r>
        <w:rPr>
          <w:rFonts w:hint="eastAsia"/>
          <w:lang w:eastAsia="zh-CN"/>
        </w:rPr>
        <w:t>。</w:t>
      </w:r>
    </w:p>
    <w:p w14:paraId="0D5D4FBA">
      <w:pPr>
        <w:pStyle w:val="166"/>
        <w:rPr>
          <w:rFonts w:hint="eastAsia" w:ascii="宋体" w:eastAsia="宋体"/>
        </w:rPr>
      </w:pPr>
      <w:r>
        <w:rPr>
          <w:rFonts w:hint="eastAsia"/>
        </w:rPr>
        <w:t>配电变压器配置低压电容器进行无功补偿，电容器容量应根据配变容量和负荷性质，通过计算确定</w:t>
      </w:r>
      <w:r>
        <w:rPr>
          <w:rFonts w:hint="eastAsia"/>
          <w:lang w:eastAsia="zh-CN"/>
        </w:rPr>
        <w:t>。</w:t>
      </w:r>
    </w:p>
    <w:p w14:paraId="27594260">
      <w:pPr>
        <w:pStyle w:val="166"/>
        <w:rPr>
          <w:rFonts w:hint="eastAsia" w:ascii="宋体" w:eastAsia="宋体"/>
        </w:rPr>
      </w:pPr>
      <w:r>
        <w:rPr>
          <w:rFonts w:hint="eastAsia"/>
        </w:rPr>
        <w:t>低压无功补偿装置一般按配变容量的 10%~30%配置，可实现共补、分补及相间补偿，采用复合开关自动投切（可控硅投切、接触器运行）方式</w:t>
      </w:r>
      <w:r>
        <w:rPr>
          <w:rFonts w:hint="eastAsia"/>
          <w:lang w:eastAsia="zh-CN"/>
        </w:rPr>
        <w:t>。</w:t>
      </w:r>
    </w:p>
    <w:p w14:paraId="294AF461">
      <w:pPr>
        <w:pStyle w:val="166"/>
        <w:rPr>
          <w:rFonts w:hint="eastAsia" w:ascii="宋体" w:eastAsia="宋体"/>
        </w:rPr>
      </w:pPr>
      <w:r>
        <w:rPr>
          <w:rFonts w:hint="eastAsia"/>
        </w:rPr>
        <w:t>电源接入配电网后，应按照并网协议开展无功补偿控制，并提供必要的无功电压支撑；风电、集中式光伏等新能源宜分别按照其对应的接入电力系统技术规范和无功补偿技术规范要求配置自动无功补偿装置</w:t>
      </w:r>
      <w:r>
        <w:rPr>
          <w:rFonts w:hint="eastAsia"/>
          <w:lang w:eastAsia="zh-CN"/>
        </w:rPr>
        <w:t>。</w:t>
      </w:r>
    </w:p>
    <w:p w14:paraId="62790D37">
      <w:pPr>
        <w:pStyle w:val="166"/>
        <w:rPr>
          <w:rFonts w:hint="eastAsia" w:ascii="宋体" w:eastAsia="宋体"/>
        </w:rPr>
      </w:pPr>
      <w:r>
        <w:rPr>
          <w:rFonts w:hint="eastAsia"/>
        </w:rPr>
        <w:t>接入 10kV 及以下电网分布式电源系统无功补偿容量的计算应依据变流器功率因数、汇集线路、变压器和送出线路的无功损耗等因素统筹考虑，具备在事故方式下向系统提供一定的无功支撑能力，正常方式下不宜向系统倒送无功</w:t>
      </w:r>
      <w:r>
        <w:rPr>
          <w:rFonts w:hint="eastAsia"/>
          <w:lang w:eastAsia="zh-CN"/>
        </w:rPr>
        <w:t>。</w:t>
      </w:r>
    </w:p>
    <w:p w14:paraId="3A068A05">
      <w:pPr>
        <w:pStyle w:val="163"/>
        <w:rPr>
          <w:rFonts w:hint="eastAsia" w:ascii="黑体" w:eastAsia="黑体"/>
        </w:rPr>
      </w:pPr>
      <w:r>
        <w:rPr>
          <w:rFonts w:hint="eastAsia" w:ascii="黑体" w:eastAsia="黑体"/>
        </w:rPr>
        <w:t>三相平衡要求</w:t>
      </w:r>
    </w:p>
    <w:p w14:paraId="153972F2">
      <w:pPr>
        <w:pStyle w:val="166"/>
        <w:rPr>
          <w:rFonts w:hint="eastAsia" w:ascii="宋体" w:eastAsia="宋体"/>
        </w:rPr>
      </w:pPr>
      <w:r>
        <w:rPr>
          <w:rFonts w:hint="eastAsia"/>
        </w:rPr>
        <w:t>电力系统公共连接点电压不平衡度应满足《电能质量三相电压不平衡》GB/T 15543 的要求</w:t>
      </w:r>
      <w:r>
        <w:rPr>
          <w:rFonts w:hint="eastAsia"/>
          <w:lang w:eastAsia="zh-CN"/>
        </w:rPr>
        <w:t>。</w:t>
      </w:r>
    </w:p>
    <w:p w14:paraId="73601364">
      <w:pPr>
        <w:pStyle w:val="166"/>
        <w:rPr>
          <w:rFonts w:hint="eastAsia" w:ascii="宋体" w:eastAsia="宋体"/>
        </w:rPr>
      </w:pPr>
      <w:r>
        <w:rPr>
          <w:rFonts w:hint="eastAsia"/>
        </w:rPr>
        <w:t>低压线路宜采取“三相四线”供电方式架设，避免单相长距离供电。低压供电距离应根据地区负荷发展确定，宜与配电变压器容量相适应，以满足末端电压质量要求</w:t>
      </w:r>
      <w:r>
        <w:rPr>
          <w:rFonts w:hint="eastAsia"/>
          <w:lang w:eastAsia="zh-CN"/>
        </w:rPr>
        <w:t>。</w:t>
      </w:r>
    </w:p>
    <w:p w14:paraId="7F3BDB1F">
      <w:pPr>
        <w:pStyle w:val="166"/>
        <w:rPr>
          <w:rFonts w:hint="eastAsia" w:ascii="宋体" w:eastAsia="宋体"/>
        </w:rPr>
      </w:pPr>
      <w:r>
        <w:rPr>
          <w:rFonts w:hint="eastAsia"/>
        </w:rPr>
        <w:t>低压电网应执行三相平衡供电，三相四线延伸至多表位表箱或分支箱，用户应平衡接入</w:t>
      </w:r>
      <w:r>
        <w:rPr>
          <w:rFonts w:hint="eastAsia"/>
          <w:lang w:eastAsia="zh-CN"/>
        </w:rPr>
        <w:t>。</w:t>
      </w:r>
    </w:p>
    <w:p w14:paraId="2D0F69F2">
      <w:pPr>
        <w:pStyle w:val="166"/>
        <w:rPr>
          <w:rFonts w:hint="eastAsia" w:ascii="宋体" w:eastAsia="宋体"/>
        </w:rPr>
      </w:pPr>
      <w:r>
        <w:rPr>
          <w:rFonts w:hint="eastAsia"/>
        </w:rPr>
        <w:t>宜在多表位表箱、分支箱、T 接点等处设置相别调整功能模块，避免登杆操作</w:t>
      </w:r>
      <w:r>
        <w:rPr>
          <w:rFonts w:hint="eastAsia"/>
          <w:lang w:eastAsia="zh-CN"/>
        </w:rPr>
        <w:t>。</w:t>
      </w:r>
    </w:p>
    <w:p w14:paraId="59DED5D1">
      <w:pPr>
        <w:pStyle w:val="105"/>
        <w:bidi w:val="0"/>
        <w:ind w:left="0" w:leftChars="0" w:firstLine="0" w:firstLineChars="0"/>
      </w:pPr>
      <w:r>
        <w:rPr>
          <w:rFonts w:hint="eastAsia"/>
          <w:lang w:eastAsia="zh-CN"/>
        </w:rPr>
        <w:t>施工验收</w:t>
      </w:r>
    </w:p>
    <w:p w14:paraId="46A686AA">
      <w:pPr>
        <w:pStyle w:val="163"/>
        <w:rPr>
          <w:rFonts w:hint="eastAsia" w:ascii="黑体" w:eastAsia="黑体"/>
        </w:rPr>
      </w:pPr>
      <w:r>
        <w:rPr>
          <w:rFonts w:hint="eastAsia" w:ascii="黑体" w:eastAsia="黑体"/>
          <w:lang w:eastAsia="zh-CN"/>
        </w:rPr>
        <w:t>一般规定</w:t>
      </w:r>
    </w:p>
    <w:p w14:paraId="266BC5C2">
      <w:pPr>
        <w:pStyle w:val="166"/>
        <w:rPr>
          <w:rFonts w:hint="eastAsia" w:ascii="宋体" w:eastAsia="宋体"/>
        </w:rPr>
      </w:pPr>
      <w:r>
        <w:rPr>
          <w:rFonts w:hint="eastAsia"/>
        </w:rPr>
        <w:t>乡村供配电设施及相关建筑的施工、验收和维护应满足国家和行业现行的有关技术规范和标准</w:t>
      </w:r>
      <w:r>
        <w:rPr>
          <w:rFonts w:hint="eastAsia"/>
          <w:lang w:eastAsia="zh-CN"/>
        </w:rPr>
        <w:t>。</w:t>
      </w:r>
    </w:p>
    <w:p w14:paraId="1AB3A142">
      <w:pPr>
        <w:pStyle w:val="166"/>
        <w:rPr>
          <w:rFonts w:hint="eastAsia" w:ascii="宋体" w:eastAsia="宋体"/>
        </w:rPr>
      </w:pPr>
      <w:r>
        <w:rPr>
          <w:rFonts w:hint="eastAsia"/>
        </w:rPr>
        <w:t>10kV 线路施工工艺应符合《电气装置安装工程 66kV 及以下架空电力线路施工及验收规范》GB 50173 的相关规定</w:t>
      </w:r>
      <w:r>
        <w:rPr>
          <w:rFonts w:hint="eastAsia"/>
          <w:lang w:eastAsia="zh-CN"/>
        </w:rPr>
        <w:t>。</w:t>
      </w:r>
    </w:p>
    <w:p w14:paraId="37355564">
      <w:pPr>
        <w:pStyle w:val="166"/>
        <w:rPr>
          <w:rFonts w:hint="eastAsia" w:ascii="宋体" w:eastAsia="宋体"/>
        </w:rPr>
      </w:pPr>
      <w:r>
        <w:rPr>
          <w:rFonts w:hint="eastAsia"/>
        </w:rPr>
        <w:t>高压的电气设备和布线系统及继电保护系统的交接试验应符合《电气装置安装工程电气设备交接试验标准》GB 50150 的规定</w:t>
      </w:r>
      <w:r>
        <w:rPr>
          <w:rFonts w:hint="eastAsia"/>
          <w:lang w:eastAsia="zh-CN"/>
        </w:rPr>
        <w:t>。</w:t>
      </w:r>
    </w:p>
    <w:p w14:paraId="72B59F35">
      <w:pPr>
        <w:pStyle w:val="166"/>
        <w:rPr>
          <w:rFonts w:hint="eastAsia" w:ascii="宋体" w:eastAsia="宋体"/>
        </w:rPr>
      </w:pPr>
      <w:r>
        <w:rPr>
          <w:rFonts w:hint="eastAsia"/>
        </w:rPr>
        <w:t>低压的电气设备和布线系统的交接试验应符合《建筑电气工程施工质量验收规范》 GB 50303 的规定</w:t>
      </w:r>
      <w:r>
        <w:rPr>
          <w:rFonts w:hint="eastAsia"/>
          <w:lang w:eastAsia="zh-CN"/>
        </w:rPr>
        <w:t>。</w:t>
      </w:r>
    </w:p>
    <w:p w14:paraId="75AC5768">
      <w:pPr>
        <w:pStyle w:val="163"/>
        <w:rPr>
          <w:rFonts w:hint="eastAsia" w:ascii="黑体" w:eastAsia="黑体"/>
        </w:rPr>
      </w:pPr>
      <w:r>
        <w:rPr>
          <w:rFonts w:hint="eastAsia" w:ascii="黑体" w:eastAsia="黑体"/>
          <w:lang w:eastAsia="zh-CN"/>
        </w:rPr>
        <w:t>施工</w:t>
      </w:r>
    </w:p>
    <w:p w14:paraId="29A9A0E2">
      <w:pPr>
        <w:pStyle w:val="166"/>
        <w:rPr>
          <w:rFonts w:hint="eastAsia" w:ascii="宋体" w:eastAsia="宋体"/>
        </w:rPr>
      </w:pPr>
      <w:r>
        <w:rPr>
          <w:rFonts w:hint="eastAsia"/>
        </w:rPr>
        <w:t>系统的施工应按已审定的正式设计文件和施工图纸进行施工，不得随意更改，如需变更应办理设计变更手续</w:t>
      </w:r>
      <w:r>
        <w:rPr>
          <w:rFonts w:hint="eastAsia"/>
          <w:lang w:eastAsia="zh-CN"/>
        </w:rPr>
        <w:t>。</w:t>
      </w:r>
    </w:p>
    <w:p w14:paraId="597C0E35">
      <w:pPr>
        <w:pStyle w:val="166"/>
        <w:rPr>
          <w:rFonts w:hint="eastAsia" w:ascii="宋体" w:eastAsia="宋体"/>
        </w:rPr>
      </w:pPr>
      <w:r>
        <w:rPr>
          <w:rFonts w:hint="eastAsia"/>
        </w:rPr>
        <w:t>配电设备安装位置与建筑物的安全距离应符合规定，安装位置应有消防、检修、抢修通道</w:t>
      </w:r>
      <w:r>
        <w:rPr>
          <w:rFonts w:hint="eastAsia"/>
          <w:lang w:eastAsia="zh-CN"/>
        </w:rPr>
        <w:t>。</w:t>
      </w:r>
    </w:p>
    <w:p w14:paraId="6346B5B7">
      <w:pPr>
        <w:pStyle w:val="166"/>
        <w:rPr>
          <w:rFonts w:hint="eastAsia" w:ascii="宋体" w:eastAsia="宋体"/>
          <w:b/>
          <w:bCs/>
          <w:color w:val="0000FF"/>
        </w:rPr>
      </w:pPr>
      <w:r>
        <w:rPr>
          <w:rFonts w:hint="eastAsia"/>
        </w:rPr>
        <w:t>水泥电杆应采取加装底盘和卡盘等措施，满足电杆载荷需求。电杆埋深可根据对应杆位的地质条件确定，其中 10 m 杆埋深不小于 1.7m ，12 m 杆埋深不小于 1.9m ，15 m 杆埋深不小于 2.3m, 18m 杆埋深不小于 2.8 米；回填土应每 300mm夯实一次；电杆周围设 防沉土层，其上部面积不小于坑口面积，培土高度应超出地面 300mm</w:t>
      </w:r>
      <w:r>
        <w:rPr>
          <w:rFonts w:hint="eastAsia"/>
          <w:lang w:eastAsia="zh-CN"/>
        </w:rPr>
        <w:t>。</w:t>
      </w:r>
      <w:r>
        <w:rPr>
          <w:rFonts w:hint="eastAsia"/>
          <w:b/>
          <w:bCs/>
          <w:color w:val="0000FF"/>
        </w:rPr>
        <w:t>塔杆上标明线路的名称、代号、塔杆号和警示标识等;塔基宜选用钢筋混凝土或混凝土基础。</w:t>
      </w:r>
    </w:p>
    <w:p w14:paraId="39D59115">
      <w:pPr>
        <w:pStyle w:val="166"/>
        <w:rPr>
          <w:rFonts w:hint="eastAsia" w:ascii="宋体" w:eastAsia="宋体"/>
        </w:rPr>
      </w:pPr>
      <w:r>
        <w:rPr>
          <w:rFonts w:hint="eastAsia"/>
        </w:rPr>
        <w:t>电杆位移及偏差：直线杆顺线路方向位移不超过设计档距的3％，横向偏离线路中心线不应大于 50mm；直线杆的倾斜、杆梢位移不应大于杆梢直径的 1/2。钢管杆位移及偏差：钢管杆连接后，其分段及整根电杆的弯曲不应超过其对应长度的2‰；架线后直线 杆的倾斜不应超过杆高的5‰，转角杆组立前宜向受力侧预倾斜，预倾斜值应由设计单位确定</w:t>
      </w:r>
      <w:r>
        <w:rPr>
          <w:rFonts w:hint="eastAsia"/>
          <w:lang w:eastAsia="zh-CN"/>
        </w:rPr>
        <w:t>。</w:t>
      </w:r>
    </w:p>
    <w:p w14:paraId="521760AB">
      <w:pPr>
        <w:pStyle w:val="166"/>
        <w:rPr>
          <w:rFonts w:hint="eastAsia" w:ascii="宋体" w:eastAsia="宋体"/>
        </w:rPr>
      </w:pPr>
      <w:r>
        <w:rPr>
          <w:rFonts w:hint="eastAsia"/>
        </w:rPr>
        <w:t>路边不宜采用预应力型混凝土电杆，防止车撞脆断。转角杆、终端杆、跨越杆可采用非预应力型混凝土电杆或钢管杆，路边电杆应加装防撞警示牌，因鸟害导致线路故障频发的地区宜安装驱鸟器或绝缘防鸟隔板等措施防治</w:t>
      </w:r>
      <w:r>
        <w:rPr>
          <w:rFonts w:hint="eastAsia"/>
          <w:lang w:eastAsia="zh-CN"/>
        </w:rPr>
        <w:t>。</w:t>
      </w:r>
    </w:p>
    <w:p w14:paraId="4D77181A">
      <w:pPr>
        <w:pStyle w:val="166"/>
        <w:rPr>
          <w:rFonts w:hint="eastAsia" w:ascii="宋体" w:eastAsia="宋体"/>
        </w:rPr>
      </w:pPr>
      <w:r>
        <w:rPr>
          <w:rFonts w:hint="eastAsia"/>
        </w:rPr>
        <w:t>架空绝缘线路除接地环裸露部位外，宜对柱上变压器、柱上开关、避雷器和电缆终端的接线端子、导线线夹等进行绝缘封闭</w:t>
      </w:r>
      <w:r>
        <w:rPr>
          <w:rFonts w:hint="eastAsia"/>
          <w:lang w:eastAsia="zh-CN"/>
        </w:rPr>
        <w:t>。</w:t>
      </w:r>
    </w:p>
    <w:p w14:paraId="70F9F578">
      <w:pPr>
        <w:pStyle w:val="166"/>
        <w:rPr>
          <w:rFonts w:hint="eastAsia" w:ascii="宋体" w:eastAsia="宋体"/>
        </w:rPr>
      </w:pPr>
      <w:r>
        <w:rPr>
          <w:rFonts w:hint="eastAsia"/>
        </w:rPr>
        <w:t>架空线路采用的横担、抱箍等金属构件均应采用热镀锌防腐，并满足导线机械承载力要求</w:t>
      </w:r>
      <w:r>
        <w:rPr>
          <w:rFonts w:hint="eastAsia"/>
          <w:lang w:eastAsia="zh-CN"/>
        </w:rPr>
        <w:t>。</w:t>
      </w:r>
    </w:p>
    <w:p w14:paraId="064660F1">
      <w:pPr>
        <w:pStyle w:val="166"/>
        <w:rPr>
          <w:rFonts w:hint="eastAsia" w:ascii="宋体" w:eastAsia="宋体"/>
        </w:rPr>
      </w:pPr>
      <w:r>
        <w:rPr>
          <w:rFonts w:hint="eastAsia"/>
        </w:rPr>
        <w:t>跨越道路的拉线，除应满足设计要求外，均应设置反光标识，对路边的垂直距离 不宜小于6m。拉盘的埋设深度、方向应符合设计要求。拉线棒与拉线盘应垂直，连接处应采用双螺母，其外露地面部分的长度应为500mm~700mm</w:t>
      </w:r>
      <w:r>
        <w:rPr>
          <w:rFonts w:hint="eastAsia"/>
          <w:lang w:eastAsia="zh-CN"/>
        </w:rPr>
        <w:t>。</w:t>
      </w:r>
    </w:p>
    <w:p w14:paraId="1E07D3DF">
      <w:pPr>
        <w:pStyle w:val="166"/>
        <w:rPr>
          <w:rFonts w:hint="eastAsia" w:ascii="宋体" w:eastAsia="宋体"/>
        </w:rPr>
      </w:pPr>
      <w:r>
        <w:rPr>
          <w:rFonts w:hint="eastAsia"/>
        </w:rPr>
        <w:t>导线紧好后，弧垂误差不应超过设计弧垂的±5%，水平排列的导线弧垂相差不应大于50mm</w:t>
      </w:r>
      <w:r>
        <w:rPr>
          <w:rFonts w:hint="eastAsia"/>
          <w:lang w:eastAsia="zh-CN"/>
        </w:rPr>
        <w:t>。</w:t>
      </w:r>
    </w:p>
    <w:p w14:paraId="232AF6F0">
      <w:pPr>
        <w:pStyle w:val="166"/>
        <w:rPr>
          <w:rFonts w:hint="eastAsia" w:ascii="宋体" w:eastAsia="宋体"/>
        </w:rPr>
      </w:pPr>
      <w:r>
        <w:rPr>
          <w:rFonts w:hint="eastAsia"/>
        </w:rPr>
        <w:t>导线与绝缘子的绑扎要紧密，绑线排列要整齐，绝缘线应使用单股铜塑线</w:t>
      </w:r>
      <w:r>
        <w:rPr>
          <w:rFonts w:hint="eastAsia"/>
          <w:lang w:eastAsia="zh-CN"/>
        </w:rPr>
        <w:t>。</w:t>
      </w:r>
    </w:p>
    <w:p w14:paraId="1165707F">
      <w:pPr>
        <w:pStyle w:val="166"/>
        <w:rPr>
          <w:rFonts w:hint="eastAsia" w:ascii="宋体" w:eastAsia="宋体"/>
        </w:rPr>
      </w:pPr>
      <w:r>
        <w:rPr>
          <w:rFonts w:hint="eastAsia"/>
        </w:rPr>
        <w:t>电缆线路在路径的起点、终点、直线、转角处必须设置电缆标识桩</w:t>
      </w:r>
      <w:r>
        <w:rPr>
          <w:rFonts w:hint="eastAsia"/>
          <w:lang w:eastAsia="zh-CN"/>
        </w:rPr>
        <w:t>。</w:t>
      </w:r>
    </w:p>
    <w:p w14:paraId="6F44BD67">
      <w:pPr>
        <w:pStyle w:val="166"/>
        <w:rPr>
          <w:rFonts w:hint="eastAsia" w:ascii="宋体" w:eastAsia="宋体"/>
        </w:rPr>
      </w:pPr>
      <w:r>
        <w:rPr>
          <w:rFonts w:hint="eastAsia"/>
        </w:rPr>
        <w:t>箱式变压器、环网柜基础不低于周围地面400mm，布置处应有检修通道和运输通道，围栅应使用不锈钢管焊接安装，设备基础预留的孔洞应用钢板封堵，基础四周应刷安全警示反光漆</w:t>
      </w:r>
      <w:r>
        <w:rPr>
          <w:rFonts w:hint="eastAsia"/>
          <w:lang w:eastAsia="zh-CN"/>
        </w:rPr>
        <w:t>。</w:t>
      </w:r>
    </w:p>
    <w:p w14:paraId="01B8EF0C">
      <w:pPr>
        <w:pStyle w:val="166"/>
        <w:rPr>
          <w:rFonts w:hint="eastAsia" w:ascii="宋体" w:eastAsia="宋体"/>
        </w:rPr>
      </w:pPr>
      <w:r>
        <w:rPr>
          <w:rFonts w:hint="eastAsia"/>
        </w:rPr>
        <w:t>系统采用的设备器材及材料应符合电气装置安装工程施工及验收规范以及设备材料的制造标准，并应有合格证件，设备应有铭牌</w:t>
      </w:r>
      <w:r>
        <w:rPr>
          <w:rFonts w:hint="eastAsia"/>
          <w:lang w:eastAsia="zh-CN"/>
        </w:rPr>
        <w:t>。</w:t>
      </w:r>
    </w:p>
    <w:p w14:paraId="4FDEC6B5">
      <w:pPr>
        <w:pStyle w:val="163"/>
        <w:rPr>
          <w:rFonts w:hint="eastAsia" w:ascii="黑体" w:eastAsia="黑体"/>
        </w:rPr>
      </w:pPr>
      <w:r>
        <w:rPr>
          <w:rFonts w:hint="eastAsia" w:ascii="黑体" w:eastAsia="黑体"/>
          <w:lang w:eastAsia="zh-CN"/>
        </w:rPr>
        <w:t>验收</w:t>
      </w:r>
    </w:p>
    <w:p w14:paraId="76794A86">
      <w:pPr>
        <w:pStyle w:val="166"/>
        <w:rPr>
          <w:rFonts w:hint="eastAsia" w:ascii="宋体" w:eastAsia="宋体"/>
        </w:rPr>
      </w:pPr>
      <w:r>
        <w:rPr>
          <w:rFonts w:hint="eastAsia"/>
        </w:rPr>
        <w:t>施工中应做好隐藏工程的记录和中间验收</w:t>
      </w:r>
      <w:r>
        <w:rPr>
          <w:rFonts w:hint="eastAsia"/>
          <w:lang w:eastAsia="zh-CN"/>
        </w:rPr>
        <w:t>。</w:t>
      </w:r>
    </w:p>
    <w:p w14:paraId="4D136BC3">
      <w:pPr>
        <w:pStyle w:val="166"/>
        <w:rPr>
          <w:rFonts w:hint="eastAsia" w:ascii="宋体" w:eastAsia="宋体"/>
        </w:rPr>
      </w:pPr>
      <w:r>
        <w:rPr>
          <w:rFonts w:hint="eastAsia"/>
        </w:rPr>
        <w:t>电能计量装置验收项目及内容应按《电能计量装置技术管理规程》DL/T 448 规定执行</w:t>
      </w:r>
      <w:r>
        <w:rPr>
          <w:rFonts w:hint="eastAsia"/>
          <w:lang w:eastAsia="zh-CN"/>
        </w:rPr>
        <w:t>。</w:t>
      </w:r>
    </w:p>
    <w:p w14:paraId="5B9CA3A9">
      <w:pPr>
        <w:pStyle w:val="166"/>
        <w:rPr>
          <w:rFonts w:hint="eastAsia" w:ascii="宋体" w:eastAsia="宋体"/>
        </w:rPr>
      </w:pPr>
      <w:r>
        <w:rPr>
          <w:rFonts w:hint="eastAsia"/>
        </w:rPr>
        <w:t>工程验收时应提交竣工图、安装技术记录等资料和文件</w:t>
      </w:r>
      <w:r>
        <w:rPr>
          <w:rFonts w:hint="eastAsia"/>
          <w:lang w:eastAsia="zh-CN"/>
        </w:rPr>
        <w:t>。</w:t>
      </w:r>
    </w:p>
    <w:p w14:paraId="4D8CE314">
      <w:pPr>
        <w:pStyle w:val="57"/>
      </w:pPr>
    </w:p>
    <w:p w14:paraId="0BB8E780">
      <w:pPr>
        <w:pStyle w:val="57"/>
        <w:rPr>
          <w:rFonts w:hint="eastAsia"/>
        </w:rPr>
      </w:pPr>
    </w:p>
    <w:p w14:paraId="6EBDA427">
      <w:pPr>
        <w:pStyle w:val="57"/>
        <w:rPr>
          <w:rFonts w:hint="eastAsia"/>
        </w:rPr>
      </w:pPr>
    </w:p>
    <w:p w14:paraId="3E005E4C">
      <w:pPr>
        <w:pStyle w:val="57"/>
        <w:rPr>
          <w:rFonts w:hint="eastAsia"/>
        </w:rPr>
      </w:pPr>
    </w:p>
    <w:p w14:paraId="250FC2A6">
      <w:pPr>
        <w:pStyle w:val="57"/>
        <w:rPr>
          <w:rFonts w:hint="eastAsia"/>
        </w:rPr>
      </w:pPr>
    </w:p>
    <w:p w14:paraId="2ACA1877">
      <w:pPr>
        <w:pStyle w:val="57"/>
      </w:pPr>
    </w:p>
    <w:bookmarkEnd w:id="17"/>
    <w:p w14:paraId="16EA2F63">
      <w:pPr>
        <w:pStyle w:val="57"/>
        <w:ind w:firstLine="0" w:firstLineChars="0"/>
        <w:jc w:val="center"/>
      </w:pPr>
      <w:bookmarkStart w:id="39" w:name="BookMark8"/>
      <w:r>
        <w:drawing>
          <wp:inline distT="0" distB="0" distL="0" distR="0">
            <wp:extent cx="1485900" cy="317500"/>
            <wp:effectExtent l="0" t="0" r="0" b="6350"/>
            <wp:docPr id="1027318302" name="图片 1"/>
            <wp:cNvGraphicFramePr/>
            <a:graphic xmlns:a="http://schemas.openxmlformats.org/drawingml/2006/main">
              <a:graphicData uri="http://schemas.openxmlformats.org/drawingml/2006/picture">
                <pic:pic xmlns:pic="http://schemas.openxmlformats.org/drawingml/2006/picture">
                  <pic:nvPicPr>
                    <pic:cNvPr id="1027318302"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9"/>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CAEA2">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2B0CC">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B8023">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BEFA8">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6E362">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ACFD0">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FC46D">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7DF1C">
    <w:pPr>
      <w:pStyle w:val="62"/>
    </w:pPr>
    <w:r>
      <w:fldChar w:fldCharType="begin"/>
    </w:r>
    <w:r>
      <w:instrText xml:space="preserve"> STYLEREF  标准文件_文件编号  \* MERGEFORMAT </w:instrText>
    </w:r>
    <w:r>
      <w:fldChar w:fldCharType="separate"/>
    </w:r>
    <w:r>
      <w:t>T/AHDL 002—2024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AA848">
    <w:pPr>
      <w:pStyle w:val="19"/>
      <w:jc w:val="right"/>
    </w:pPr>
    <w:r>
      <w:fldChar w:fldCharType="begin"/>
    </w:r>
    <w:r>
      <w:instrText xml:space="preserve"> STYLEREF  标准文件_文件编号  \* MERGEFORMAT </w:instrText>
    </w:r>
    <w:r>
      <w:fldChar w:fldCharType="separate"/>
    </w:r>
    <w:r>
      <w:t>T/AHDL 002—2024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1BF9A"/>
    <w:multiLevelType w:val="singleLevel"/>
    <w:tmpl w:val="BF21BF9A"/>
    <w:lvl w:ilvl="0" w:tentative="0">
      <w:start w:val="1"/>
      <w:numFmt w:val="decimal"/>
      <w:suff w:val="nothing"/>
      <w:lvlText w:val="%1）"/>
      <w:lvlJc w:val="left"/>
    </w:lvl>
  </w:abstractNum>
  <w:abstractNum w:abstractNumId="1">
    <w:nsid w:val="F327B7A6"/>
    <w:multiLevelType w:val="singleLevel"/>
    <w:tmpl w:val="F327B7A6"/>
    <w:lvl w:ilvl="0" w:tentative="0">
      <w:start w:val="1"/>
      <w:numFmt w:val="decimal"/>
      <w:suff w:val="nothing"/>
      <w:lvlText w:val="%1）"/>
      <w:lvlJc w:val="left"/>
    </w:lvl>
  </w:abstractNum>
  <w:abstractNum w:abstractNumId="2">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default" w:ascii="宋体" w:hAnsi="宋体" w:eastAsia="宋体" w:cs="宋体"/>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default" w:ascii="宋体" w:hAnsi="宋体" w:eastAsia="宋体" w:cs="宋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29"/>
  </w:num>
  <w:num w:numId="3">
    <w:abstractNumId w:val="7"/>
  </w:num>
  <w:num w:numId="4">
    <w:abstractNumId w:val="25"/>
  </w:num>
  <w:num w:numId="5">
    <w:abstractNumId w:val="20"/>
  </w:num>
  <w:num w:numId="6">
    <w:abstractNumId w:val="15"/>
  </w:num>
  <w:num w:numId="7">
    <w:abstractNumId w:val="10"/>
  </w:num>
  <w:num w:numId="8">
    <w:abstractNumId w:val="5"/>
  </w:num>
  <w:num w:numId="9">
    <w:abstractNumId w:val="11"/>
  </w:num>
  <w:num w:numId="10">
    <w:abstractNumId w:val="18"/>
  </w:num>
  <w:num w:numId="11">
    <w:abstractNumId w:val="27"/>
  </w:num>
  <w:num w:numId="12">
    <w:abstractNumId w:val="13"/>
  </w:num>
  <w:num w:numId="13">
    <w:abstractNumId w:val="14"/>
  </w:num>
  <w:num w:numId="14">
    <w:abstractNumId w:val="9"/>
  </w:num>
  <w:num w:numId="15">
    <w:abstractNumId w:val="21"/>
  </w:num>
  <w:num w:numId="16">
    <w:abstractNumId w:val="23"/>
  </w:num>
  <w:num w:numId="17">
    <w:abstractNumId w:val="19"/>
  </w:num>
  <w:num w:numId="18">
    <w:abstractNumId w:val="31"/>
  </w:num>
  <w:num w:numId="19">
    <w:abstractNumId w:val="17"/>
  </w:num>
  <w:num w:numId="20">
    <w:abstractNumId w:val="3"/>
  </w:num>
  <w:num w:numId="21">
    <w:abstractNumId w:val="12"/>
  </w:num>
  <w:num w:numId="22">
    <w:abstractNumId w:val="32"/>
  </w:num>
  <w:num w:numId="23">
    <w:abstractNumId w:val="22"/>
  </w:num>
  <w:num w:numId="24">
    <w:abstractNumId w:val="8"/>
  </w:num>
  <w:num w:numId="25">
    <w:abstractNumId w:val="28"/>
  </w:num>
  <w:num w:numId="26">
    <w:abstractNumId w:val="30"/>
  </w:num>
  <w:num w:numId="27">
    <w:abstractNumId w:val="4"/>
  </w:num>
  <w:num w:numId="28">
    <w:abstractNumId w:val="6"/>
  </w:num>
  <w:num w:numId="29">
    <w:abstractNumId w:val="16"/>
  </w:num>
  <w:num w:numId="30">
    <w:abstractNumId w:val="26"/>
  </w:num>
  <w:num w:numId="31">
    <w:abstractNumId w:val="24"/>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trackRevisions w:val="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kYzA2MWQ3ZDc2ZDQzZjU5ZWY5ZjY4ZTUxZTE5M2EifQ=="/>
  </w:docVars>
  <w:rsids>
    <w:rsidRoot w:val="00436E4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370D"/>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6E45"/>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3356"/>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049"/>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77A3"/>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592"/>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68C9"/>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494F"/>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DE025C"/>
    <w:rsid w:val="04140BB8"/>
    <w:rsid w:val="04BC376D"/>
    <w:rsid w:val="059A43D7"/>
    <w:rsid w:val="08A502BB"/>
    <w:rsid w:val="09BE680A"/>
    <w:rsid w:val="0A185E82"/>
    <w:rsid w:val="0CC87A86"/>
    <w:rsid w:val="10E67546"/>
    <w:rsid w:val="14B22F00"/>
    <w:rsid w:val="14ED68FF"/>
    <w:rsid w:val="15950A0F"/>
    <w:rsid w:val="167E20F6"/>
    <w:rsid w:val="17157CEB"/>
    <w:rsid w:val="18617342"/>
    <w:rsid w:val="1A1D2DB6"/>
    <w:rsid w:val="1A33260D"/>
    <w:rsid w:val="1D53194B"/>
    <w:rsid w:val="1F0A1575"/>
    <w:rsid w:val="20664E02"/>
    <w:rsid w:val="20DC49C8"/>
    <w:rsid w:val="22836330"/>
    <w:rsid w:val="29E11288"/>
    <w:rsid w:val="2BC502AE"/>
    <w:rsid w:val="2CB0049F"/>
    <w:rsid w:val="2E01601C"/>
    <w:rsid w:val="31473E46"/>
    <w:rsid w:val="3265353C"/>
    <w:rsid w:val="328D1496"/>
    <w:rsid w:val="340F62EB"/>
    <w:rsid w:val="342E5E64"/>
    <w:rsid w:val="362E5AF0"/>
    <w:rsid w:val="37503FD8"/>
    <w:rsid w:val="3A602052"/>
    <w:rsid w:val="3BB049EB"/>
    <w:rsid w:val="3CBB24B9"/>
    <w:rsid w:val="3D5C61B8"/>
    <w:rsid w:val="3D683401"/>
    <w:rsid w:val="3DBB3FD3"/>
    <w:rsid w:val="3F6619ED"/>
    <w:rsid w:val="3F7136A4"/>
    <w:rsid w:val="40775150"/>
    <w:rsid w:val="409415FD"/>
    <w:rsid w:val="42F72AC7"/>
    <w:rsid w:val="44377CAC"/>
    <w:rsid w:val="462D5DDE"/>
    <w:rsid w:val="467F7268"/>
    <w:rsid w:val="46964E3E"/>
    <w:rsid w:val="490B6A9B"/>
    <w:rsid w:val="49161377"/>
    <w:rsid w:val="49460294"/>
    <w:rsid w:val="51B45F98"/>
    <w:rsid w:val="53184C91"/>
    <w:rsid w:val="534863AE"/>
    <w:rsid w:val="535D68ED"/>
    <w:rsid w:val="53840791"/>
    <w:rsid w:val="5A2A5431"/>
    <w:rsid w:val="5A3018EA"/>
    <w:rsid w:val="5B2E6224"/>
    <w:rsid w:val="5B9A296D"/>
    <w:rsid w:val="5BFA4739"/>
    <w:rsid w:val="5CD94530"/>
    <w:rsid w:val="5DC528A3"/>
    <w:rsid w:val="5E192648"/>
    <w:rsid w:val="5E872C78"/>
    <w:rsid w:val="61407419"/>
    <w:rsid w:val="669A3CF2"/>
    <w:rsid w:val="6A0A5F4B"/>
    <w:rsid w:val="6ADC1774"/>
    <w:rsid w:val="6D80108B"/>
    <w:rsid w:val="706865F7"/>
    <w:rsid w:val="71BB4A00"/>
    <w:rsid w:val="735110C8"/>
    <w:rsid w:val="73FC19D6"/>
    <w:rsid w:val="744720D0"/>
    <w:rsid w:val="77087BF9"/>
    <w:rsid w:val="78136CBA"/>
    <w:rsid w:val="792B4B56"/>
    <w:rsid w:val="7ACD53E6"/>
    <w:rsid w:val="7D8D1888"/>
    <w:rsid w:val="7FD15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7"/>
    <w:qFormat/>
    <w:uiPriority w:val="0"/>
    <w:pPr>
      <w:keepNext/>
      <w:keepLines/>
      <w:spacing w:before="260" w:after="260" w:line="416" w:lineRule="auto"/>
      <w:outlineLvl w:val="2"/>
    </w:pPr>
    <w:rPr>
      <w:b/>
      <w:bCs/>
      <w:sz w:val="32"/>
      <w:szCs w:val="32"/>
    </w:rPr>
  </w:style>
  <w:style w:type="paragraph" w:styleId="6">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Heading2"/>
    <w:next w:val="1"/>
    <w:qFormat/>
    <w:uiPriority w:val="0"/>
    <w:pPr>
      <w:keepNext/>
      <w:keepLines/>
      <w:widowControl w:val="0"/>
      <w:spacing w:before="260" w:after="260" w:line="415" w:lineRule="auto"/>
      <w:jc w:val="both"/>
      <w:textAlignment w:val="baseline"/>
    </w:pPr>
    <w:rPr>
      <w:rFonts w:ascii="Arial" w:hAnsi="Arial" w:eastAsia="黑体" w:cs="Times New Roman"/>
      <w:b/>
      <w:kern w:val="2"/>
      <w:sz w:val="32"/>
      <w:lang w:val="en-US" w:eastAsia="zh-CN" w:bidi="ar-SA"/>
    </w:r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Body Text"/>
    <w:basedOn w:val="1"/>
    <w:link w:val="87"/>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3"/>
    <w:qFormat/>
    <w:uiPriority w:val="0"/>
    <w:rPr>
      <w:b/>
      <w:bCs/>
      <w:kern w:val="44"/>
      <w:sz w:val="44"/>
      <w:szCs w:val="44"/>
    </w:rPr>
  </w:style>
  <w:style w:type="character" w:customStyle="1" w:styleId="36">
    <w:name w:val="标题 2 字符"/>
    <w:link w:val="4"/>
    <w:qFormat/>
    <w:uiPriority w:val="0"/>
    <w:rPr>
      <w:rFonts w:ascii="Arial" w:hAnsi="Arial" w:eastAsia="黑体"/>
      <w:b/>
      <w:bCs/>
      <w:kern w:val="2"/>
      <w:sz w:val="32"/>
      <w:szCs w:val="32"/>
    </w:rPr>
  </w:style>
  <w:style w:type="character" w:customStyle="1" w:styleId="37">
    <w:name w:val="标题 3 字符"/>
    <w:link w:val="5"/>
    <w:qFormat/>
    <w:uiPriority w:val="0"/>
    <w:rPr>
      <w:b/>
      <w:bCs/>
      <w:kern w:val="2"/>
      <w:sz w:val="32"/>
      <w:szCs w:val="32"/>
    </w:rPr>
  </w:style>
  <w:style w:type="character" w:customStyle="1" w:styleId="38">
    <w:name w:val="标题 4 字符"/>
    <w:link w:val="6"/>
    <w:qFormat/>
    <w:uiPriority w:val="0"/>
    <w:rPr>
      <w:rFonts w:ascii="Arial" w:hAnsi="Arial" w:eastAsia="黑体"/>
      <w:b/>
      <w:bCs/>
      <w:kern w:val="2"/>
      <w:sz w:val="28"/>
      <w:szCs w:val="28"/>
    </w:rPr>
  </w:style>
  <w:style w:type="character" w:customStyle="1" w:styleId="39">
    <w:name w:val="标题 5 字符"/>
    <w:link w:val="7"/>
    <w:qFormat/>
    <w:uiPriority w:val="0"/>
    <w:rPr>
      <w:b/>
      <w:bCs/>
      <w:kern w:val="2"/>
      <w:sz w:val="28"/>
      <w:szCs w:val="28"/>
    </w:rPr>
  </w:style>
  <w:style w:type="character" w:customStyle="1" w:styleId="40">
    <w:name w:val="标题 6 字符"/>
    <w:link w:val="8"/>
    <w:qFormat/>
    <w:uiPriority w:val="0"/>
    <w:rPr>
      <w:rFonts w:ascii="Arial" w:hAnsi="Arial" w:eastAsia="黑体"/>
      <w:b/>
      <w:bCs/>
      <w:kern w:val="2"/>
      <w:sz w:val="24"/>
      <w:szCs w:val="24"/>
    </w:rPr>
  </w:style>
  <w:style w:type="character" w:customStyle="1" w:styleId="41">
    <w:name w:val="标题 7 字符"/>
    <w:link w:val="9"/>
    <w:qFormat/>
    <w:uiPriority w:val="0"/>
    <w:rPr>
      <w:b/>
      <w:bCs/>
      <w:kern w:val="2"/>
      <w:sz w:val="24"/>
      <w:szCs w:val="24"/>
    </w:rPr>
  </w:style>
  <w:style w:type="character" w:customStyle="1" w:styleId="42">
    <w:name w:val="标题 8 字符"/>
    <w:link w:val="10"/>
    <w:qFormat/>
    <w:uiPriority w:val="0"/>
    <w:rPr>
      <w:rFonts w:ascii="Arial" w:hAnsi="Arial" w:eastAsia="黑体"/>
      <w:kern w:val="2"/>
      <w:sz w:val="24"/>
      <w:szCs w:val="24"/>
    </w:rPr>
  </w:style>
  <w:style w:type="character" w:customStyle="1" w:styleId="43">
    <w:name w:val="标题 9 字符"/>
    <w:link w:val="11"/>
    <w:qFormat/>
    <w:uiPriority w:val="0"/>
    <w:rPr>
      <w:rFonts w:ascii="Arial" w:hAnsi="Arial" w:eastAsia="黑体"/>
      <w:kern w:val="2"/>
      <w:sz w:val="21"/>
      <w:szCs w:val="21"/>
    </w:rPr>
  </w:style>
  <w:style w:type="character" w:customStyle="1" w:styleId="44">
    <w:name w:val="页眉 字符"/>
    <w:link w:val="19"/>
    <w:qFormat/>
    <w:uiPriority w:val="99"/>
    <w:rPr>
      <w:kern w:val="2"/>
      <w:sz w:val="18"/>
      <w:szCs w:val="18"/>
    </w:rPr>
  </w:style>
  <w:style w:type="character" w:customStyle="1" w:styleId="45">
    <w:name w:val="页脚 字符"/>
    <w:link w:val="18"/>
    <w:qFormat/>
    <w:uiPriority w:val="99"/>
    <w:rPr>
      <w:rFonts w:ascii="宋体"/>
      <w:kern w:val="2"/>
      <w:sz w:val="18"/>
      <w:szCs w:val="18"/>
    </w:rPr>
  </w:style>
  <w:style w:type="character" w:customStyle="1" w:styleId="46">
    <w:name w:val="批注框文本 字符"/>
    <w:link w:val="17"/>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4"/>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table" w:customStyle="1" w:styleId="231">
    <w:name w:val="Table Normal"/>
    <w:semiHidden/>
    <w:unhideWhenUsed/>
    <w:qFormat/>
    <w:uiPriority w:val="0"/>
    <w:tblPr>
      <w:tblCellMar>
        <w:top w:w="0" w:type="dxa"/>
        <w:left w:w="0" w:type="dxa"/>
        <w:bottom w:w="0" w:type="dxa"/>
        <w:right w:w="0" w:type="dxa"/>
      </w:tblCellMar>
    </w:tblPr>
  </w:style>
  <w:style w:type="paragraph" w:customStyle="1" w:styleId="232">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CCBF461B8524E0C8E8FFD034A3EA620"/>
        <w:style w:val=""/>
        <w:category>
          <w:name w:val="常规"/>
          <w:gallery w:val="placeholder"/>
        </w:category>
        <w:types>
          <w:type w:val="bbPlcHdr"/>
        </w:types>
        <w:behaviors>
          <w:behavior w:val="content"/>
        </w:behaviors>
        <w:description w:val=""/>
        <w:guid w:val="{0739AB00-DDBA-49E7-9004-5F817661F4EA}"/>
      </w:docPartPr>
      <w:docPartBody>
        <w:p w14:paraId="5C58D554">
          <w:pPr>
            <w:pStyle w:val="5"/>
          </w:pPr>
          <w:r>
            <w:rPr>
              <w:rStyle w:val="4"/>
              <w:rFonts w:hint="eastAsia"/>
            </w:rPr>
            <w:t>单击或点击此处输入文字。</w:t>
          </w:r>
        </w:p>
      </w:docPartBody>
    </w:docPart>
    <w:docPart>
      <w:docPartPr>
        <w:name w:val="1AE70135FD834ABC837D5BB1B249C901"/>
        <w:style w:val=""/>
        <w:category>
          <w:name w:val="常规"/>
          <w:gallery w:val="placeholder"/>
        </w:category>
        <w:types>
          <w:type w:val="bbPlcHdr"/>
        </w:types>
        <w:behaviors>
          <w:behavior w:val="content"/>
        </w:behaviors>
        <w:description w:val=""/>
        <w:guid w:val="{75E8B980-620D-423F-869F-0FC760E320FD}"/>
      </w:docPartPr>
      <w:docPartBody>
        <w:p w14:paraId="4DF88630">
          <w:pPr>
            <w:pStyle w:val="6"/>
          </w:pPr>
          <w:r>
            <w:rPr>
              <w:rStyle w:val="4"/>
              <w:rFonts w:hint="eastAsia"/>
            </w:rPr>
            <w:t>选择一项。</w:t>
          </w:r>
        </w:p>
      </w:docPartBody>
    </w:docPart>
    <w:docPart>
      <w:docPartPr>
        <w:name w:val="8371590E737F47AFA03D56031C5E8076"/>
        <w:style w:val=""/>
        <w:category>
          <w:name w:val="常规"/>
          <w:gallery w:val="placeholder"/>
        </w:category>
        <w:types>
          <w:type w:val="bbPlcHdr"/>
        </w:types>
        <w:behaviors>
          <w:behavior w:val="content"/>
        </w:behaviors>
        <w:description w:val=""/>
        <w:guid w:val="{FCC0C031-76A9-4AF0-9ACF-AC84954050D8}"/>
      </w:docPartPr>
      <w:docPartBody>
        <w:p w14:paraId="0F6ABDEE">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17E"/>
    <w:rsid w:val="0041767C"/>
    <w:rsid w:val="0062204C"/>
    <w:rsid w:val="008E6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CCBF461B8524E0C8E8FFD034A3EA62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1AE70135FD834ABC837D5BB1B249C90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8371590E737F47AFA03D56031C5E807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13</Pages>
  <Words>12823</Words>
  <Characters>14139</Characters>
  <Lines>50</Lines>
  <Paragraphs>14</Paragraphs>
  <TotalTime>199</TotalTime>
  <ScaleCrop>false</ScaleCrop>
  <LinksUpToDate>false</LinksUpToDate>
  <CharactersWithSpaces>14514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2023-10-31T02:54:00Z</dcterms:created>
  <dc:creator>xiao'mi'wu</dc:creator>
  <dc:description>&lt;config cover="true" show_menu="true" version="1.0.0" doctype="SDKXY"&gt;_x000d_
&lt;/config&gt;</dc:description>
  <cp:lastModifiedBy>杨洋</cp:lastModifiedBy>
  <cp:lastPrinted>2024-08-09T02:35:13Z</cp:lastPrinted>
  <dcterms:modified xsi:type="dcterms:W3CDTF">2024-08-09T06:18:57Z</dcterms:modified>
  <dc:title>团体标准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2052-12.1.0.17147</vt:lpwstr>
  </property>
  <property fmtid="{D5CDD505-2E9C-101B-9397-08002B2CF9AE}" pid="15" name="ICV">
    <vt:lpwstr>774363B1AB224393B4627F12E7635A5D_13</vt:lpwstr>
  </property>
</Properties>
</file>