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BBFC7">
      <w:pPr>
        <w:spacing w:after="90"/>
        <w:jc w:val="left"/>
        <w:rPr>
          <w:rFonts w:hint="default" w:ascii="宋体" w:hAnsi="宋体" w:eastAsia="宋体" w:cs="宋体"/>
          <w:b/>
          <w:kern w:val="0"/>
          <w:sz w:val="24"/>
          <w:szCs w:val="24"/>
          <w:lang w:val="en-US" w:eastAsia="zh-CN"/>
        </w:rPr>
      </w:pPr>
      <w:r>
        <w:rPr>
          <w:rFonts w:hint="eastAsia" w:ascii="宋体" w:hAnsi="宋体" w:cs="宋体"/>
          <w:b/>
          <w:kern w:val="0"/>
          <w:sz w:val="24"/>
          <w:szCs w:val="24"/>
          <w:lang w:eastAsia="zh-CN"/>
        </w:rPr>
        <w:t>附件</w:t>
      </w:r>
      <w:bookmarkStart w:id="0" w:name="_GoBack"/>
      <w:bookmarkEnd w:id="0"/>
      <w:r>
        <w:rPr>
          <w:rFonts w:hint="eastAsia" w:ascii="宋体" w:hAnsi="宋体" w:cs="宋体"/>
          <w:b/>
          <w:kern w:val="0"/>
          <w:sz w:val="24"/>
          <w:szCs w:val="24"/>
          <w:lang w:val="en-US" w:eastAsia="zh-CN"/>
        </w:rPr>
        <w:t>：</w:t>
      </w:r>
      <w:r>
        <w:rPr>
          <w:rFonts w:hint="eastAsia" w:ascii="宋体" w:hAnsi="宋体" w:cs="宋体"/>
          <w:b/>
          <w:kern w:val="0"/>
          <w:sz w:val="24"/>
          <w:szCs w:val="24"/>
        </w:rPr>
        <w:t>研修班拟定课程、师资及现场教学实践基地</w:t>
      </w:r>
    </w:p>
    <w:tbl>
      <w:tblPr>
        <w:tblStyle w:val="5"/>
        <w:tblW w:w="8443" w:type="dxa"/>
        <w:jc w:val="center"/>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Layout w:type="fixed"/>
        <w:tblCellMar>
          <w:top w:w="15" w:type="dxa"/>
          <w:left w:w="15" w:type="dxa"/>
          <w:bottom w:w="15" w:type="dxa"/>
          <w:right w:w="15" w:type="dxa"/>
        </w:tblCellMar>
      </w:tblPr>
      <w:tblGrid>
        <w:gridCol w:w="3126"/>
        <w:gridCol w:w="993"/>
        <w:gridCol w:w="4324"/>
      </w:tblGrid>
      <w:tr w14:paraId="570484C8">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35" w:hRule="atLeast"/>
          <w:jc w:val="center"/>
        </w:trPr>
        <w:tc>
          <w:tcPr>
            <w:tcW w:w="3126" w:type="dxa"/>
            <w:vAlign w:val="center"/>
          </w:tcPr>
          <w:p w14:paraId="66CDB1A4">
            <w:pPr>
              <w:keepNext w:val="0"/>
              <w:keepLines w:val="0"/>
              <w:widowControl/>
              <w:suppressLineNumbers w:val="0"/>
              <w:spacing w:before="0" w:beforeAutospacing="0" w:after="0" w:afterAutospacing="0"/>
              <w:ind w:left="0" w:right="0"/>
              <w:jc w:val="center"/>
              <w:textAlignment w:val="center"/>
              <w:rPr>
                <w:rFonts w:hint="eastAsia" w:ascii="Helvetica" w:hAnsi="Helvetica" w:eastAsia="宋体" w:cs="Helvetica"/>
                <w:color w:val="auto"/>
                <w:sz w:val="21"/>
                <w:szCs w:val="21"/>
                <w:lang w:eastAsia="zh-CN"/>
              </w:rPr>
            </w:pPr>
            <w:r>
              <w:rPr>
                <w:rFonts w:hint="eastAsia" w:ascii="Helvetica" w:hAnsi="Helvetica" w:cs="Helvetica"/>
                <w:color w:val="auto"/>
                <w:sz w:val="21"/>
                <w:szCs w:val="21"/>
                <w:lang w:eastAsia="zh-CN"/>
              </w:rPr>
              <w:t>课程名称</w:t>
            </w:r>
          </w:p>
        </w:tc>
        <w:tc>
          <w:tcPr>
            <w:tcW w:w="993" w:type="dxa"/>
            <w:vAlign w:val="center"/>
          </w:tcPr>
          <w:p w14:paraId="748FA848">
            <w:pPr>
              <w:keepNext w:val="0"/>
              <w:keepLines w:val="0"/>
              <w:widowControl/>
              <w:suppressLineNumbers w:val="0"/>
              <w:spacing w:before="0" w:beforeAutospacing="0" w:after="0" w:afterAutospacing="0"/>
              <w:ind w:left="0" w:right="0"/>
              <w:jc w:val="center"/>
              <w:textAlignment w:val="center"/>
              <w:rPr>
                <w:rFonts w:hint="eastAsia" w:ascii="Helvetica" w:hAnsi="Helvetica" w:eastAsia="宋体" w:cs="Helvetica"/>
                <w:color w:val="auto"/>
                <w:sz w:val="21"/>
                <w:szCs w:val="21"/>
                <w:lang w:eastAsia="zh-CN"/>
              </w:rPr>
            </w:pPr>
            <w:r>
              <w:rPr>
                <w:rFonts w:hint="eastAsia" w:ascii="Helvetica" w:hAnsi="Helvetica" w:cs="Helvetica"/>
                <w:color w:val="auto"/>
                <w:sz w:val="21"/>
                <w:szCs w:val="21"/>
                <w:lang w:eastAsia="zh-CN"/>
              </w:rPr>
              <w:t>授课老师</w:t>
            </w:r>
          </w:p>
        </w:tc>
        <w:tc>
          <w:tcPr>
            <w:tcW w:w="4324" w:type="dxa"/>
          </w:tcPr>
          <w:p w14:paraId="47B04947">
            <w:pPr>
              <w:keepNext w:val="0"/>
              <w:keepLines w:val="0"/>
              <w:widowControl/>
              <w:suppressLineNumbers w:val="0"/>
              <w:spacing w:before="0" w:beforeAutospacing="0" w:after="0" w:afterAutospacing="0"/>
              <w:ind w:left="0" w:right="0"/>
              <w:jc w:val="center"/>
              <w:textAlignment w:val="center"/>
              <w:rPr>
                <w:rFonts w:hint="eastAsia" w:ascii="Helvetica" w:hAnsi="Helvetica" w:eastAsia="宋体" w:cs="Helvetica"/>
                <w:color w:val="auto"/>
                <w:sz w:val="21"/>
                <w:szCs w:val="21"/>
                <w:lang w:eastAsia="zh-CN"/>
              </w:rPr>
            </w:pPr>
            <w:r>
              <w:rPr>
                <w:rFonts w:hint="eastAsia" w:ascii="Helvetica" w:hAnsi="Helvetica" w:cs="Helvetica"/>
                <w:color w:val="auto"/>
                <w:sz w:val="21"/>
                <w:szCs w:val="21"/>
                <w:lang w:eastAsia="zh-CN"/>
              </w:rPr>
              <w:t>老师简介</w:t>
            </w:r>
          </w:p>
        </w:tc>
      </w:tr>
      <w:tr w14:paraId="30A89293">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35" w:hRule="atLeast"/>
          <w:jc w:val="center"/>
        </w:trPr>
        <w:tc>
          <w:tcPr>
            <w:tcW w:w="3126" w:type="dxa"/>
            <w:shd w:val="clear" w:color="auto" w:fill="auto"/>
            <w:vAlign w:val="center"/>
          </w:tcPr>
          <w:p w14:paraId="1A93AB3B">
            <w:pPr>
              <w:keepNext w:val="0"/>
              <w:keepLines w:val="0"/>
              <w:widowControl/>
              <w:suppressLineNumbers w:val="0"/>
              <w:spacing w:before="0" w:beforeAutospacing="0" w:after="0" w:afterAutospacing="0"/>
              <w:ind w:left="0" w:right="0"/>
              <w:jc w:val="center"/>
              <w:textAlignment w:val="center"/>
              <w:rPr>
                <w:rFonts w:hint="eastAsia" w:ascii="Helvetica" w:hAnsi="Helvetica" w:eastAsia="宋体" w:cs="Helvetica"/>
                <w:color w:val="auto"/>
                <w:kern w:val="28"/>
                <w:sz w:val="21"/>
                <w:szCs w:val="21"/>
                <w:lang w:val="en-US" w:eastAsia="zh-CN" w:bidi="ar-SA"/>
              </w:rPr>
            </w:pPr>
            <w:r>
              <w:rPr>
                <w:rFonts w:ascii="Helvetica" w:hAnsi="Helvetica" w:cs="Helvetica"/>
                <w:color w:val="auto"/>
                <w:sz w:val="21"/>
                <w:szCs w:val="21"/>
              </w:rPr>
              <w:t>党的二十届三中全会精神解读</w:t>
            </w:r>
          </w:p>
        </w:tc>
        <w:tc>
          <w:tcPr>
            <w:tcW w:w="993" w:type="dxa"/>
            <w:shd w:val="clear" w:color="auto" w:fill="auto"/>
            <w:vAlign w:val="center"/>
          </w:tcPr>
          <w:p w14:paraId="463A2FA8">
            <w:pPr>
              <w:keepNext w:val="0"/>
              <w:keepLines w:val="0"/>
              <w:widowControl/>
              <w:suppressLineNumbers w:val="0"/>
              <w:spacing w:before="0" w:beforeAutospacing="0" w:after="0" w:afterAutospacing="0"/>
              <w:ind w:left="0" w:right="0"/>
              <w:jc w:val="center"/>
              <w:textAlignment w:val="center"/>
              <w:rPr>
                <w:rFonts w:hint="eastAsia" w:ascii="Helvetica" w:hAnsi="Helvetica" w:eastAsia="宋体" w:cs="Helvetica"/>
                <w:color w:val="auto"/>
                <w:kern w:val="28"/>
                <w:sz w:val="21"/>
                <w:szCs w:val="21"/>
                <w:lang w:val="en-US" w:eastAsia="zh-CN" w:bidi="ar-SA"/>
              </w:rPr>
            </w:pPr>
            <w:r>
              <w:rPr>
                <w:rFonts w:ascii="Helvetica" w:hAnsi="Helvetica" w:cs="Helvetica"/>
                <w:color w:val="auto"/>
                <w:sz w:val="21"/>
                <w:szCs w:val="21"/>
              </w:rPr>
              <w:t>陈晓伟</w:t>
            </w:r>
          </w:p>
        </w:tc>
        <w:tc>
          <w:tcPr>
            <w:tcW w:w="4324" w:type="dxa"/>
            <w:shd w:val="clear" w:color="auto" w:fill="auto"/>
            <w:vAlign w:val="top"/>
          </w:tcPr>
          <w:p w14:paraId="7E0AD1FD">
            <w:pPr>
              <w:keepNext w:val="0"/>
              <w:keepLines w:val="0"/>
              <w:widowControl/>
              <w:suppressLineNumbers w:val="0"/>
              <w:spacing w:before="0" w:beforeAutospacing="0" w:after="0" w:afterAutospacing="0"/>
              <w:ind w:left="0" w:right="0"/>
              <w:jc w:val="center"/>
              <w:textAlignment w:val="center"/>
              <w:rPr>
                <w:rFonts w:hint="eastAsia" w:ascii="Helvetica" w:hAnsi="Helvetica" w:eastAsia="宋体" w:cs="Helvetica"/>
                <w:color w:val="auto"/>
                <w:kern w:val="28"/>
                <w:sz w:val="21"/>
                <w:szCs w:val="21"/>
                <w:lang w:val="en-US" w:eastAsia="zh-CN" w:bidi="ar-SA"/>
              </w:rPr>
            </w:pPr>
            <w:r>
              <w:rPr>
                <w:rFonts w:ascii="Helvetica" w:hAnsi="Helvetica" w:cs="Helvetica"/>
                <w:color w:val="auto"/>
                <w:sz w:val="21"/>
                <w:szCs w:val="21"/>
              </w:rPr>
              <w:t>浙江大学中国特色社会主义研究中心研究员，浙江大学中国地方政府创新研究中心秘书长，出版《地方政府的三重治理逻辑》等多部学术著作，获2022年度马克思主义学院青年教师教学竞赛一等奖</w:t>
            </w:r>
          </w:p>
        </w:tc>
      </w:tr>
      <w:tr w14:paraId="2B4598F6">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35" w:hRule="atLeast"/>
          <w:jc w:val="center"/>
        </w:trPr>
        <w:tc>
          <w:tcPr>
            <w:tcW w:w="3126" w:type="dxa"/>
            <w:vAlign w:val="center"/>
          </w:tcPr>
          <w:p w14:paraId="4D46EE58">
            <w:pPr>
              <w:keepNext w:val="0"/>
              <w:keepLines w:val="0"/>
              <w:widowControl/>
              <w:suppressLineNumbers w:val="0"/>
              <w:spacing w:before="0" w:beforeAutospacing="0" w:after="0" w:afterAutospacing="0"/>
              <w:ind w:left="0" w:right="0"/>
              <w:jc w:val="center"/>
              <w:textAlignment w:val="center"/>
              <w:rPr>
                <w:rFonts w:hint="eastAsia" w:ascii="Helvetica" w:hAnsi="Helvetica" w:cs="Helvetica"/>
                <w:color w:val="auto"/>
                <w:sz w:val="21"/>
                <w:szCs w:val="21"/>
              </w:rPr>
            </w:pPr>
            <w:r>
              <w:rPr>
                <w:rFonts w:ascii="Helvetica" w:hAnsi="Helvetica" w:cs="Helvetica"/>
                <w:color w:val="auto"/>
                <w:sz w:val="21"/>
                <w:szCs w:val="21"/>
              </w:rPr>
              <w:t>推动发展新质生产力，赋能经济高质量发展</w:t>
            </w:r>
          </w:p>
        </w:tc>
        <w:tc>
          <w:tcPr>
            <w:tcW w:w="993" w:type="dxa"/>
            <w:vAlign w:val="center"/>
          </w:tcPr>
          <w:p w14:paraId="4F07EAF7">
            <w:pPr>
              <w:keepNext w:val="0"/>
              <w:keepLines w:val="0"/>
              <w:widowControl/>
              <w:suppressLineNumbers w:val="0"/>
              <w:spacing w:before="0" w:beforeAutospacing="0" w:after="0" w:afterAutospacing="0" w:line="360" w:lineRule="auto"/>
              <w:ind w:left="0" w:right="0"/>
              <w:jc w:val="center"/>
              <w:textAlignment w:val="center"/>
              <w:rPr>
                <w:rFonts w:hint="eastAsia" w:ascii="Helvetica" w:hAnsi="Helvetica" w:cs="Helvetica"/>
                <w:color w:val="auto"/>
                <w:sz w:val="21"/>
                <w:szCs w:val="21"/>
              </w:rPr>
            </w:pPr>
            <w:r>
              <w:rPr>
                <w:rFonts w:ascii="Helvetica" w:hAnsi="Helvetica" w:cs="Helvetica"/>
                <w:color w:val="auto"/>
                <w:sz w:val="21"/>
                <w:szCs w:val="21"/>
              </w:rPr>
              <w:t>耿</w:t>
            </w:r>
            <w:r>
              <w:rPr>
                <w:rFonts w:hint="eastAsia" w:ascii="Helvetica" w:hAnsi="Helvetica" w:cs="Helvetica"/>
                <w:color w:val="auto"/>
                <w:sz w:val="21"/>
                <w:szCs w:val="21"/>
              </w:rPr>
              <w:t xml:space="preserve"> </w:t>
            </w:r>
            <w:r>
              <w:rPr>
                <w:rFonts w:ascii="Helvetica" w:hAnsi="Helvetica" w:cs="Helvetica"/>
                <w:color w:val="auto"/>
                <w:sz w:val="21"/>
                <w:szCs w:val="21"/>
              </w:rPr>
              <w:t>曙</w:t>
            </w:r>
          </w:p>
        </w:tc>
        <w:tc>
          <w:tcPr>
            <w:tcW w:w="4324" w:type="dxa"/>
            <w:vAlign w:val="center"/>
          </w:tcPr>
          <w:p w14:paraId="356E8D8F">
            <w:pPr>
              <w:keepNext w:val="0"/>
              <w:keepLines w:val="0"/>
              <w:widowControl/>
              <w:suppressLineNumbers w:val="0"/>
              <w:spacing w:before="0" w:beforeAutospacing="0" w:after="0" w:afterAutospacing="0"/>
              <w:ind w:left="0" w:right="0"/>
              <w:jc w:val="center"/>
              <w:textAlignment w:val="center"/>
              <w:rPr>
                <w:rFonts w:hint="eastAsia" w:ascii="Helvetica" w:hAnsi="Helvetica" w:cs="Helvetica"/>
                <w:color w:val="auto"/>
                <w:sz w:val="21"/>
                <w:szCs w:val="21"/>
              </w:rPr>
            </w:pPr>
            <w:r>
              <w:rPr>
                <w:rFonts w:ascii="Helvetica" w:hAnsi="Helvetica" w:cs="Helvetica"/>
                <w:color w:val="auto"/>
                <w:sz w:val="21"/>
                <w:szCs w:val="21"/>
              </w:rPr>
              <w:t>浙江大学公共管理学院政治学系研究员、博士生导师，美国德州大学政府系博士，曾任教上海财经大学等校，并在伦敦大学亚非学院、图宾根大学、海德堡大学等校讲学</w:t>
            </w:r>
          </w:p>
        </w:tc>
      </w:tr>
      <w:tr w14:paraId="0D04280A">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35" w:hRule="atLeast"/>
          <w:jc w:val="center"/>
        </w:trPr>
        <w:tc>
          <w:tcPr>
            <w:tcW w:w="3126" w:type="dxa"/>
            <w:vAlign w:val="center"/>
          </w:tcPr>
          <w:p w14:paraId="2F676071">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1"/>
                <w:szCs w:val="21"/>
              </w:rPr>
            </w:pPr>
            <w:r>
              <w:rPr>
                <w:rFonts w:hint="eastAsia" w:ascii="宋体" w:hAnsi="宋体" w:cs="宋体"/>
                <w:color w:val="auto"/>
                <w:sz w:val="21"/>
                <w:szCs w:val="21"/>
              </w:rPr>
              <w:t>“双碳”战略背景下的能源革命与现代能源体系建设</w:t>
            </w:r>
          </w:p>
        </w:tc>
        <w:tc>
          <w:tcPr>
            <w:tcW w:w="993" w:type="dxa"/>
            <w:vAlign w:val="center"/>
          </w:tcPr>
          <w:p w14:paraId="72E4944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1"/>
                <w:szCs w:val="21"/>
              </w:rPr>
            </w:pPr>
            <w:r>
              <w:rPr>
                <w:rFonts w:hint="eastAsia" w:ascii="宋体" w:hAnsi="宋体" w:cs="宋体"/>
                <w:color w:val="auto"/>
                <w:sz w:val="21"/>
                <w:szCs w:val="21"/>
              </w:rPr>
              <w:t>方梦祥</w:t>
            </w:r>
          </w:p>
        </w:tc>
        <w:tc>
          <w:tcPr>
            <w:tcW w:w="4324" w:type="dxa"/>
            <w:vAlign w:val="center"/>
          </w:tcPr>
          <w:p w14:paraId="79CAD724">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1"/>
                <w:szCs w:val="21"/>
              </w:rPr>
            </w:pPr>
            <w:r>
              <w:rPr>
                <w:rFonts w:hint="eastAsia" w:ascii="宋体" w:hAnsi="宋体" w:cs="宋体"/>
                <w:color w:val="auto"/>
                <w:sz w:val="21"/>
                <w:szCs w:val="21"/>
              </w:rPr>
              <w:t>浙江大学能源工程学院教授、博士生导师，先后获浙江省 “151”人才工程第一层次、浙江省第七届青少年英才奖二等奖、浙江大学“亿利达优秀教师奖”、“第四届浙大优秀青年教师”、浙江大学优秀共产党员等称号</w:t>
            </w:r>
          </w:p>
        </w:tc>
      </w:tr>
      <w:tr w14:paraId="349BB6DB">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35" w:hRule="atLeast"/>
          <w:jc w:val="center"/>
        </w:trPr>
        <w:tc>
          <w:tcPr>
            <w:tcW w:w="3126" w:type="dxa"/>
            <w:vAlign w:val="center"/>
          </w:tcPr>
          <w:p w14:paraId="56938562">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绿色电力消纳和绿色电力市场发展</w:t>
            </w:r>
          </w:p>
        </w:tc>
        <w:tc>
          <w:tcPr>
            <w:tcW w:w="993" w:type="dxa"/>
            <w:vAlign w:val="center"/>
          </w:tcPr>
          <w:p w14:paraId="00306F4E">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丁 一</w:t>
            </w:r>
          </w:p>
        </w:tc>
        <w:tc>
          <w:tcPr>
            <w:tcW w:w="4324" w:type="dxa"/>
            <w:vAlign w:val="center"/>
          </w:tcPr>
          <w:p w14:paraId="687B4177">
            <w:pPr>
              <w:keepNext w:val="0"/>
              <w:keepLines w:val="0"/>
              <w:widowControl/>
              <w:suppressLineNumbers w:val="0"/>
              <w:spacing w:before="0" w:beforeAutospacing="0" w:after="90" w:afterAutospacing="0"/>
              <w:ind w:left="0" w:right="0"/>
              <w:jc w:val="center"/>
              <w:rPr>
                <w:rFonts w:hint="eastAsia" w:ascii="宋体" w:hAnsi="宋体" w:cs="宋体"/>
                <w:kern w:val="0"/>
                <w:sz w:val="21"/>
                <w:szCs w:val="21"/>
              </w:rPr>
            </w:pPr>
            <w:r>
              <w:rPr>
                <w:rFonts w:hint="eastAsia" w:ascii="宋体" w:hAnsi="宋体" w:cs="宋体"/>
                <w:kern w:val="0"/>
                <w:sz w:val="21"/>
                <w:szCs w:val="21"/>
              </w:rPr>
              <w:t>浙江大学电气工程学院副院长、教授、博士生导师，国家杰出青年基金获得者，国家青年特聘专家，中国电力优秀科技工作者奖获得者，获国家科技进步二等奖、中国电力/浙江省科技进步一等奖各1项、中国电力/浙江省科技进步二等奖各1项</w:t>
            </w:r>
            <w:r>
              <w:rPr>
                <w:rFonts w:hint="eastAsia" w:ascii="宋体" w:hAnsi="宋体" w:cs="宋体"/>
                <w:kern w:val="0"/>
                <w:sz w:val="21"/>
                <w:szCs w:val="21"/>
              </w:rPr>
              <w:tab/>
            </w:r>
          </w:p>
        </w:tc>
      </w:tr>
      <w:tr w14:paraId="0B379313">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35" w:hRule="atLeast"/>
          <w:jc w:val="center"/>
        </w:trPr>
        <w:tc>
          <w:tcPr>
            <w:tcW w:w="3126" w:type="dxa"/>
            <w:vAlign w:val="center"/>
          </w:tcPr>
          <w:p w14:paraId="62658564">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“风-光-煤-汽-氢-调峰-储能-减碳”多位一体综合规划</w:t>
            </w:r>
          </w:p>
        </w:tc>
        <w:tc>
          <w:tcPr>
            <w:tcW w:w="993" w:type="dxa"/>
            <w:vAlign w:val="center"/>
          </w:tcPr>
          <w:p w14:paraId="7A8ACDD9">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谷保静</w:t>
            </w:r>
          </w:p>
        </w:tc>
        <w:tc>
          <w:tcPr>
            <w:tcW w:w="4324" w:type="dxa"/>
            <w:vAlign w:val="center"/>
          </w:tcPr>
          <w:p w14:paraId="36F79855">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浙江大学环境与资源学院长聘教授、博士生导师、碳中和研究中心副主任，国家杰出青年基金获得者</w:t>
            </w:r>
          </w:p>
        </w:tc>
      </w:tr>
      <w:tr w14:paraId="780FDFE3">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35" w:hRule="atLeast"/>
          <w:jc w:val="center"/>
        </w:trPr>
        <w:tc>
          <w:tcPr>
            <w:tcW w:w="3126" w:type="dxa"/>
            <w:vAlign w:val="center"/>
          </w:tcPr>
          <w:p w14:paraId="02E023ED">
            <w:pPr>
              <w:keepNext w:val="0"/>
              <w:keepLines w:val="0"/>
              <w:widowControl/>
              <w:suppressLineNumbers w:val="0"/>
              <w:spacing w:before="0" w:beforeAutospacing="0" w:after="0" w:afterAutospacing="0"/>
              <w:ind w:left="0" w:right="0"/>
              <w:jc w:val="center"/>
              <w:textAlignment w:val="center"/>
              <w:rPr>
                <w:rFonts w:ascii="宋体" w:hAnsi="宋体" w:cs="宋体"/>
                <w:kern w:val="0"/>
                <w:sz w:val="21"/>
                <w:szCs w:val="21"/>
              </w:rPr>
            </w:pPr>
            <w:r>
              <w:rPr>
                <w:rFonts w:hint="eastAsia" w:ascii="宋体" w:hAnsi="宋体" w:cs="宋体"/>
                <w:kern w:val="0"/>
                <w:sz w:val="21"/>
                <w:szCs w:val="21"/>
              </w:rPr>
              <w:t>DeepSeek:迈向全社会分享的普遍智能</w:t>
            </w:r>
          </w:p>
        </w:tc>
        <w:tc>
          <w:tcPr>
            <w:tcW w:w="993" w:type="dxa"/>
            <w:vAlign w:val="center"/>
          </w:tcPr>
          <w:p w14:paraId="4F0139CF">
            <w:pPr>
              <w:keepNext w:val="0"/>
              <w:keepLines w:val="0"/>
              <w:widowControl/>
              <w:suppressLineNumbers w:val="0"/>
              <w:spacing w:before="0" w:beforeAutospacing="0" w:after="0" w:afterAutospacing="0"/>
              <w:ind w:left="0" w:right="0"/>
              <w:jc w:val="center"/>
              <w:textAlignment w:val="center"/>
              <w:rPr>
                <w:rFonts w:ascii="宋体" w:hAnsi="宋体" w:cs="宋体"/>
                <w:kern w:val="0"/>
                <w:sz w:val="21"/>
                <w:szCs w:val="21"/>
              </w:rPr>
            </w:pPr>
            <w:r>
              <w:rPr>
                <w:rFonts w:hint="eastAsia" w:ascii="宋体" w:hAnsi="宋体" w:cs="宋体"/>
                <w:kern w:val="0"/>
                <w:sz w:val="21"/>
                <w:szCs w:val="21"/>
              </w:rPr>
              <w:t>肖俊</w:t>
            </w:r>
          </w:p>
        </w:tc>
        <w:tc>
          <w:tcPr>
            <w:tcW w:w="4324" w:type="dxa"/>
            <w:vAlign w:val="center"/>
          </w:tcPr>
          <w:p w14:paraId="0DF31DDA">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浙江大学计算机科学与技术学院人工智能研究所教授、博士生导师，浙江大学数字法治研究院副院长，之江实验室兼职双聘教授，浙江大学求是青年学者</w:t>
            </w:r>
          </w:p>
        </w:tc>
      </w:tr>
      <w:tr w14:paraId="79A9C31D">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35" w:hRule="atLeast"/>
          <w:jc w:val="center"/>
        </w:trPr>
        <w:tc>
          <w:tcPr>
            <w:tcW w:w="3126" w:type="dxa"/>
            <w:vAlign w:val="center"/>
          </w:tcPr>
          <w:p w14:paraId="4C8D2669">
            <w:pPr>
              <w:keepNext w:val="0"/>
              <w:keepLines w:val="0"/>
              <w:widowControl/>
              <w:suppressLineNumbers w:val="0"/>
              <w:spacing w:before="0" w:beforeAutospacing="0" w:after="0" w:afterAutospacing="0"/>
              <w:ind w:left="0" w:right="0"/>
              <w:jc w:val="center"/>
              <w:textAlignment w:val="center"/>
              <w:rPr>
                <w:rFonts w:hint="eastAsia" w:ascii="Helvetica" w:hAnsi="Helvetica" w:cs="Helvetica"/>
                <w:color w:val="auto"/>
                <w:sz w:val="21"/>
                <w:szCs w:val="21"/>
              </w:rPr>
            </w:pPr>
            <w:r>
              <w:rPr>
                <w:rFonts w:hint="eastAsia" w:ascii="宋体" w:hAnsi="宋体" w:cs="宋体"/>
                <w:kern w:val="0"/>
                <w:sz w:val="21"/>
                <w:szCs w:val="21"/>
              </w:rPr>
              <w:t>新时期企业战略管理与策略创新</w:t>
            </w:r>
          </w:p>
        </w:tc>
        <w:tc>
          <w:tcPr>
            <w:tcW w:w="993" w:type="dxa"/>
            <w:vAlign w:val="center"/>
          </w:tcPr>
          <w:p w14:paraId="62C1E9CA">
            <w:pPr>
              <w:keepNext w:val="0"/>
              <w:keepLines w:val="0"/>
              <w:widowControl/>
              <w:suppressLineNumbers w:val="0"/>
              <w:spacing w:before="0" w:beforeAutospacing="0" w:after="0" w:afterAutospacing="0"/>
              <w:ind w:left="0" w:right="0"/>
              <w:jc w:val="center"/>
              <w:textAlignment w:val="center"/>
              <w:rPr>
                <w:rFonts w:hint="eastAsia" w:ascii="Helvetica" w:hAnsi="Helvetica" w:cs="Helvetica"/>
                <w:color w:val="auto"/>
                <w:sz w:val="21"/>
                <w:szCs w:val="21"/>
              </w:rPr>
            </w:pPr>
            <w:r>
              <w:rPr>
                <w:rFonts w:hint="eastAsia" w:ascii="宋体" w:hAnsi="宋体" w:cs="宋体"/>
                <w:kern w:val="0"/>
                <w:sz w:val="21"/>
                <w:szCs w:val="21"/>
              </w:rPr>
              <w:t>邬爱其</w:t>
            </w:r>
          </w:p>
        </w:tc>
        <w:tc>
          <w:tcPr>
            <w:tcW w:w="4324" w:type="dxa"/>
            <w:vAlign w:val="center"/>
          </w:tcPr>
          <w:p w14:paraId="0464CB09">
            <w:pPr>
              <w:keepNext w:val="0"/>
              <w:keepLines w:val="0"/>
              <w:widowControl/>
              <w:suppressLineNumbers w:val="0"/>
              <w:spacing w:before="0" w:beforeAutospacing="0" w:after="90" w:afterAutospacing="0"/>
              <w:ind w:left="0" w:right="0"/>
              <w:jc w:val="center"/>
              <w:rPr>
                <w:rFonts w:hint="eastAsia" w:ascii="宋体" w:hAnsi="宋体" w:cs="Helvetica"/>
                <w:color w:val="auto"/>
                <w:sz w:val="21"/>
                <w:szCs w:val="21"/>
              </w:rPr>
            </w:pPr>
            <w:r>
              <w:rPr>
                <w:rFonts w:hint="eastAsia" w:ascii="宋体" w:hAnsi="宋体" w:cs="宋体"/>
                <w:kern w:val="0"/>
                <w:sz w:val="21"/>
                <w:szCs w:val="21"/>
              </w:rPr>
              <w:t xml:space="preserve"> 浙江大学管理学院创新创业与战略学系教授、博士生导师，浙江大学全球浙商研究院副院长，管理学院院长助理，浙江大学MBA创业管理Track项目主任</w:t>
            </w:r>
            <w:r>
              <w:rPr>
                <w:rFonts w:hint="eastAsia" w:ascii="宋体" w:hAnsi="宋体" w:cs="宋体"/>
                <w:kern w:val="0"/>
                <w:sz w:val="21"/>
                <w:szCs w:val="21"/>
              </w:rPr>
              <w:tab/>
            </w:r>
          </w:p>
        </w:tc>
      </w:tr>
      <w:tr w14:paraId="494FB893">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1088" w:hRule="atLeast"/>
          <w:jc w:val="center"/>
        </w:trPr>
        <w:tc>
          <w:tcPr>
            <w:tcW w:w="3126" w:type="dxa"/>
            <w:vAlign w:val="center"/>
          </w:tcPr>
          <w:p w14:paraId="19C05B34">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企业领导力提升和管理创新</w:t>
            </w:r>
          </w:p>
        </w:tc>
        <w:tc>
          <w:tcPr>
            <w:tcW w:w="993" w:type="dxa"/>
            <w:vAlign w:val="center"/>
          </w:tcPr>
          <w:p w14:paraId="153DCE1B">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叶春辉</w:t>
            </w:r>
          </w:p>
        </w:tc>
        <w:tc>
          <w:tcPr>
            <w:tcW w:w="4324" w:type="dxa"/>
            <w:vAlign w:val="center"/>
          </w:tcPr>
          <w:p w14:paraId="690170CC">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浙江大学公共管理学院副教授、博士生导师，浙江大学“求是青年”学者，浙江省“之江青年”学者，中国农村发展研究院调查数据中心主任，中组部、农业部政府官员培训专家</w:t>
            </w:r>
            <w:r>
              <w:rPr>
                <w:rFonts w:hint="eastAsia" w:ascii="宋体" w:hAnsi="宋体" w:cs="宋体"/>
                <w:kern w:val="0"/>
                <w:sz w:val="21"/>
                <w:szCs w:val="21"/>
              </w:rPr>
              <w:tab/>
            </w:r>
          </w:p>
        </w:tc>
      </w:tr>
      <w:tr w14:paraId="3A556281">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1088" w:hRule="atLeast"/>
          <w:jc w:val="center"/>
        </w:trPr>
        <w:tc>
          <w:tcPr>
            <w:tcW w:w="3126" w:type="dxa"/>
            <w:vAlign w:val="center"/>
          </w:tcPr>
          <w:p w14:paraId="2601E810">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企业财务风险防控——看懂财务报表做对经营决策</w:t>
            </w:r>
          </w:p>
        </w:tc>
        <w:tc>
          <w:tcPr>
            <w:tcW w:w="993" w:type="dxa"/>
            <w:vAlign w:val="center"/>
          </w:tcPr>
          <w:p w14:paraId="4BB51565">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周夏飞</w:t>
            </w:r>
          </w:p>
        </w:tc>
        <w:tc>
          <w:tcPr>
            <w:tcW w:w="4324" w:type="dxa"/>
            <w:vAlign w:val="center"/>
          </w:tcPr>
          <w:p w14:paraId="2BFB0E70">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浙江大学经济学院财政学系副主任、副教授，兼任浙江省会计学会理事，中国注册会计师和多家上市公司独立董事，荣获浙江大学永平教学贡献奖、浙江大学优质教学一等奖等奖项</w:t>
            </w:r>
          </w:p>
        </w:tc>
      </w:tr>
      <w:tr w14:paraId="5459A3D8">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1088" w:hRule="atLeast"/>
          <w:jc w:val="center"/>
        </w:trPr>
        <w:tc>
          <w:tcPr>
            <w:tcW w:w="3126" w:type="dxa"/>
            <w:vAlign w:val="center"/>
          </w:tcPr>
          <w:p w14:paraId="259F7F86">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企业必备经济法规解读及公司治理中风险识别与管理</w:t>
            </w:r>
          </w:p>
        </w:tc>
        <w:tc>
          <w:tcPr>
            <w:tcW w:w="993" w:type="dxa"/>
            <w:vAlign w:val="center"/>
          </w:tcPr>
          <w:p w14:paraId="148637D6">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李有星</w:t>
            </w:r>
          </w:p>
        </w:tc>
        <w:tc>
          <w:tcPr>
            <w:tcW w:w="4324" w:type="dxa"/>
            <w:vAlign w:val="center"/>
          </w:tcPr>
          <w:p w14:paraId="28B1521B">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hint="eastAsia" w:ascii="宋体" w:hAnsi="宋体" w:cs="宋体"/>
                <w:kern w:val="0"/>
                <w:sz w:val="21"/>
                <w:szCs w:val="21"/>
              </w:rPr>
              <w:t>浙江大学光华法学院教授、博士生导师，浙江大学金融法学学科带头人，浙江大学互联网金融研究院副院长、研究员，中国证券法学研究会副会长，浙江省金融法学研究会会长，浙江互联网金融联合会总监事</w:t>
            </w:r>
          </w:p>
        </w:tc>
      </w:tr>
      <w:tr w14:paraId="092D0286">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530" w:hRule="atLeast"/>
          <w:jc w:val="center"/>
        </w:trPr>
        <w:tc>
          <w:tcPr>
            <w:tcW w:w="3126" w:type="dxa"/>
            <w:vAlign w:val="center"/>
          </w:tcPr>
          <w:p w14:paraId="518B75AE">
            <w:pPr>
              <w:keepNext w:val="0"/>
              <w:keepLines w:val="0"/>
              <w:widowControl/>
              <w:suppressLineNumbers w:val="0"/>
              <w:spacing w:before="0" w:beforeAutospacing="0" w:after="0" w:afterAutospacing="0"/>
              <w:ind w:left="0" w:right="0"/>
              <w:jc w:val="center"/>
              <w:textAlignment w:val="center"/>
              <w:rPr>
                <w:rFonts w:ascii="宋体" w:hAnsi="宋体" w:cs="宋体"/>
                <w:kern w:val="0"/>
                <w:sz w:val="21"/>
                <w:szCs w:val="21"/>
              </w:rPr>
            </w:pPr>
            <w:r>
              <w:rPr>
                <w:rFonts w:ascii="宋体" w:hAnsi="宋体" w:cs="宋体"/>
                <w:kern w:val="0"/>
                <w:sz w:val="21"/>
                <w:szCs w:val="21"/>
              </w:rPr>
              <w:t>高绩效团队打造与执行力提升</w:t>
            </w:r>
          </w:p>
        </w:tc>
        <w:tc>
          <w:tcPr>
            <w:tcW w:w="993" w:type="dxa"/>
            <w:vAlign w:val="center"/>
          </w:tcPr>
          <w:p w14:paraId="005F40B0">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1"/>
                <w:szCs w:val="21"/>
              </w:rPr>
            </w:pPr>
            <w:r>
              <w:rPr>
                <w:rFonts w:ascii="宋体" w:hAnsi="宋体" w:cs="宋体"/>
                <w:kern w:val="0"/>
                <w:sz w:val="21"/>
                <w:szCs w:val="21"/>
              </w:rPr>
              <w:t>赖泓杉</w:t>
            </w:r>
          </w:p>
        </w:tc>
        <w:tc>
          <w:tcPr>
            <w:tcW w:w="4324" w:type="dxa"/>
            <w:vAlign w:val="center"/>
          </w:tcPr>
          <w:p w14:paraId="123CA00A">
            <w:pPr>
              <w:keepNext w:val="0"/>
              <w:keepLines w:val="0"/>
              <w:widowControl/>
              <w:suppressLineNumbers w:val="0"/>
              <w:spacing w:before="0" w:beforeAutospacing="0" w:after="0" w:afterAutospacing="0"/>
              <w:ind w:left="0" w:right="0"/>
              <w:jc w:val="center"/>
              <w:textAlignment w:val="center"/>
              <w:rPr>
                <w:rFonts w:ascii="宋体" w:hAnsi="宋体" w:cs="宋体"/>
                <w:kern w:val="0"/>
                <w:sz w:val="21"/>
                <w:szCs w:val="21"/>
              </w:rPr>
            </w:pPr>
            <w:r>
              <w:rPr>
                <w:rFonts w:hint="eastAsia" w:ascii="宋体" w:hAnsi="宋体" w:cs="宋体"/>
                <w:kern w:val="0"/>
                <w:sz w:val="21"/>
                <w:szCs w:val="21"/>
              </w:rPr>
              <w:t xml:space="preserve">   </w:t>
            </w:r>
            <w:r>
              <w:rPr>
                <w:rFonts w:ascii="宋体" w:hAnsi="宋体" w:cs="宋体"/>
                <w:kern w:val="0"/>
                <w:sz w:val="21"/>
                <w:szCs w:val="21"/>
              </w:rPr>
              <w:t>英国剑桥大学博士后，葡萄牙里斯本大学学院管理学博士，美国斯坦福大学、莱斯大学访问学者，曾任浙江大学城市学院创业教育和领导行为相关课程负责人</w:t>
            </w:r>
          </w:p>
        </w:tc>
      </w:tr>
      <w:tr w14:paraId="4336081F">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318" w:hRule="atLeast"/>
          <w:jc w:val="center"/>
        </w:trPr>
        <w:tc>
          <w:tcPr>
            <w:tcW w:w="8443" w:type="dxa"/>
            <w:gridSpan w:val="3"/>
            <w:vAlign w:val="center"/>
          </w:tcPr>
          <w:p w14:paraId="51390504">
            <w:pPr>
              <w:keepNext w:val="0"/>
              <w:keepLines w:val="0"/>
              <w:widowControl/>
              <w:suppressLineNumbers w:val="0"/>
              <w:spacing w:before="0" w:beforeAutospacing="0" w:after="0" w:afterAutospacing="0"/>
              <w:ind w:left="0" w:right="0"/>
              <w:textAlignment w:val="center"/>
              <w:rPr>
                <w:rFonts w:hint="eastAsia" w:ascii="宋体" w:hAnsi="宋体" w:cs="宋体"/>
                <w:b/>
                <w:kern w:val="0"/>
                <w:sz w:val="21"/>
                <w:szCs w:val="21"/>
              </w:rPr>
            </w:pPr>
          </w:p>
        </w:tc>
      </w:tr>
      <w:tr w14:paraId="0AE98722">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1088" w:hRule="atLeast"/>
          <w:jc w:val="center"/>
        </w:trPr>
        <w:tc>
          <w:tcPr>
            <w:tcW w:w="8443" w:type="dxa"/>
            <w:gridSpan w:val="3"/>
            <w:vAlign w:val="center"/>
          </w:tcPr>
          <w:p w14:paraId="52FC6B62">
            <w:pPr>
              <w:keepNext w:val="0"/>
              <w:keepLines w:val="0"/>
              <w:widowControl w:val="0"/>
              <w:suppressLineNumbers w:val="0"/>
              <w:spacing w:before="0" w:beforeAutospacing="0" w:after="0" w:afterAutospacing="0" w:line="400" w:lineRule="exact"/>
              <w:ind w:left="0" w:right="0"/>
              <w:jc w:val="both"/>
              <w:rPr>
                <w:rFonts w:hint="eastAsia" w:ascii="宋体" w:hAnsi="宋体"/>
                <w:b/>
                <w:color w:val="auto"/>
                <w:kern w:val="2"/>
                <w:sz w:val="21"/>
                <w:szCs w:val="21"/>
              </w:rPr>
            </w:pPr>
            <w:r>
              <w:rPr>
                <w:rFonts w:hint="eastAsia" w:ascii="宋体" w:hAnsi="宋体" w:cs="宋体"/>
                <w:b/>
                <w:kern w:val="0"/>
                <w:sz w:val="21"/>
                <w:szCs w:val="21"/>
              </w:rPr>
              <w:t>现场教学：</w:t>
            </w:r>
            <w:r>
              <w:rPr>
                <w:rFonts w:hint="eastAsia" w:ascii="宋体" w:hAnsi="宋体"/>
                <w:b/>
                <w:color w:val="auto"/>
                <w:kern w:val="2"/>
                <w:sz w:val="21"/>
                <w:szCs w:val="21"/>
              </w:rPr>
              <w:t>杭州云深处科技有限公司</w:t>
            </w:r>
          </w:p>
          <w:p w14:paraId="00207137">
            <w:pPr>
              <w:keepNext w:val="0"/>
              <w:keepLines w:val="0"/>
              <w:widowControl w:val="0"/>
              <w:suppressLineNumbers w:val="0"/>
              <w:spacing w:before="0" w:beforeAutospacing="0" w:after="0" w:afterAutospacing="0" w:line="360" w:lineRule="auto"/>
              <w:ind w:left="0" w:right="0"/>
              <w:jc w:val="both"/>
              <w:rPr>
                <w:rFonts w:ascii="宋体" w:hAnsi="宋体" w:cs="宋体"/>
                <w:kern w:val="0"/>
                <w:sz w:val="21"/>
                <w:szCs w:val="21"/>
              </w:rPr>
            </w:pPr>
            <w:r>
              <w:rPr>
                <w:rFonts w:hint="eastAsia" w:ascii="宋体" w:hAnsi="宋体"/>
                <w:color w:val="auto"/>
                <w:kern w:val="2"/>
                <w:sz w:val="21"/>
                <w:szCs w:val="21"/>
              </w:rPr>
              <w:t xml:space="preserve">    云深处科技成立于2017年，是一家专注于人形机器人、四足机器人及核心零部件的研发、生产、销售和服务的国家级高新技术企业。公司始终坚持自主创新，先进控制算法、智能环境感知、人工智能算法等核心技术处于国际前沿，研究成果荣登国际权威学术期刊ScienceRobotics封面。</w:t>
            </w:r>
          </w:p>
          <w:p w14:paraId="0FDC7D64">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rPr>
            </w:pPr>
          </w:p>
        </w:tc>
      </w:tr>
      <w:tr w14:paraId="4AF09E61">
        <w:tblPrEx>
          <w:tblBorders>
            <w:top w:val="single" w:color="000000" w:sz="12" w:space="0"/>
            <w:left w:val="single" w:color="000000" w:sz="12" w:space="0"/>
            <w:bottom w:val="single" w:color="000000" w:sz="4" w:space="0"/>
            <w:right w:val="single" w:color="000000" w:sz="12" w:space="0"/>
            <w:insideH w:val="single" w:color="000000" w:sz="2" w:space="0"/>
            <w:insideV w:val="single" w:color="000000" w:sz="4" w:space="0"/>
          </w:tblBorders>
          <w:tblCellMar>
            <w:top w:w="15" w:type="dxa"/>
            <w:left w:w="15" w:type="dxa"/>
            <w:bottom w:w="15" w:type="dxa"/>
            <w:right w:w="15" w:type="dxa"/>
          </w:tblCellMar>
        </w:tblPrEx>
        <w:trPr>
          <w:trHeight w:val="689" w:hRule="atLeast"/>
          <w:jc w:val="center"/>
        </w:trPr>
        <w:tc>
          <w:tcPr>
            <w:tcW w:w="8443" w:type="dxa"/>
            <w:gridSpan w:val="3"/>
            <w:vAlign w:val="center"/>
          </w:tcPr>
          <w:p w14:paraId="5939B3CA">
            <w:pPr>
              <w:keepNext w:val="0"/>
              <w:keepLines w:val="0"/>
              <w:widowControl w:val="0"/>
              <w:suppressLineNumbers w:val="0"/>
              <w:spacing w:before="0" w:beforeAutospacing="0" w:after="0" w:afterAutospacing="0" w:line="360" w:lineRule="auto"/>
              <w:ind w:left="0" w:right="0"/>
              <w:jc w:val="both"/>
              <w:rPr>
                <w:rFonts w:hint="eastAsia" w:ascii="宋体" w:hAnsi="宋体" w:cs="宋体"/>
                <w:b/>
                <w:kern w:val="0"/>
                <w:sz w:val="21"/>
                <w:szCs w:val="21"/>
              </w:rPr>
            </w:pPr>
            <w:r>
              <w:rPr>
                <w:rFonts w:hint="eastAsia" w:ascii="宋体" w:hAnsi="宋体" w:cs="宋体"/>
                <w:b/>
                <w:kern w:val="0"/>
                <w:sz w:val="21"/>
                <w:szCs w:val="21"/>
              </w:rPr>
              <w:t>现场教学：杭州宇树科技有限公司</w:t>
            </w:r>
          </w:p>
          <w:p w14:paraId="45D9DF29">
            <w:pPr>
              <w:keepNext w:val="0"/>
              <w:keepLines w:val="0"/>
              <w:widowControl w:val="0"/>
              <w:suppressLineNumbers w:val="0"/>
              <w:spacing w:before="0" w:beforeAutospacing="0" w:after="0" w:afterAutospacing="0" w:line="360" w:lineRule="auto"/>
              <w:ind w:left="0" w:right="0"/>
              <w:jc w:val="both"/>
              <w:rPr>
                <w:rFonts w:hint="eastAsia" w:ascii="宋体" w:hAnsi="宋体" w:cs="宋体"/>
                <w:kern w:val="0"/>
                <w:sz w:val="21"/>
                <w:szCs w:val="21"/>
              </w:rPr>
            </w:pPr>
            <w:r>
              <w:rPr>
                <w:rFonts w:hint="eastAsia" w:ascii="宋体" w:hAnsi="宋体" w:cs="宋体"/>
                <w:kern w:val="0"/>
                <w:sz w:val="21"/>
                <w:szCs w:val="21"/>
              </w:rPr>
              <w:t xml:space="preserve">    宇树是全球首家公开零售高性能四足机器人并最早实现行业落地的公司，研发和生产均位于杭州高新区(滨江)。其四足机器人销量占全球出货量的60-70%，大尺寸通用人形机器人出货量全球领先，业务范围覆盖全球50%以上的国家和地区。</w:t>
            </w:r>
          </w:p>
        </w:tc>
      </w:tr>
    </w:tbl>
    <w:p w14:paraId="7480D6ED">
      <w:r>
        <w:t>备注：以上课程、师资及教学实践基地具体以培训指南为准。</w:t>
      </w:r>
    </w:p>
    <w:p w14:paraId="17BF43BE"/>
    <w:p w14:paraId="21D79B1E">
      <w:pPr>
        <w:ind w:firstLine="402" w:firstLineChars="200"/>
        <w:rPr>
          <w:rFonts w:hint="eastAsia"/>
          <w:b/>
          <w:bCs/>
          <w:lang w:eastAsia="zh-CN"/>
        </w:rPr>
      </w:pPr>
      <w:r>
        <w:rPr>
          <w:rFonts w:hint="eastAsia"/>
          <w:b/>
          <w:bCs/>
        </w:rPr>
        <w:t>浙江大学</w:t>
      </w:r>
      <w:r>
        <w:rPr>
          <w:rFonts w:hint="eastAsia"/>
          <w:b/>
          <w:bCs/>
          <w:lang w:eastAsia="zh-CN"/>
        </w:rPr>
        <w:t>简介：</w:t>
      </w:r>
    </w:p>
    <w:p w14:paraId="67BDF726">
      <w:pPr>
        <w:ind w:firstLine="400" w:firstLineChars="200"/>
      </w:pPr>
      <w:r>
        <w:rPr>
          <w:rFonts w:hint="eastAsia"/>
        </w:rPr>
        <w:t>浙江大学是首批进入国家“211工程”、“985工程”建设的若干所大学之一。经过百余年发展，浙江大学已成为一所基础坚实、实力雄厚、特色鲜明，居于国内一流水平，在国际上有较大影响的综合型、研究型大学。在2017年国家公布的“双一流”建设名单中，浙大入选一流大学建设高校（A 类），18 个一级学科入选一流建设学科。在全国高校第四轮学科评估中，浙江大学有 11个“A+”学科，排名第三；有 11 个 A 类学科，17 个“A-”学科，A 类学科总数量达到 39个，A类一级学科数排名第一。根据2020年1月ESI公布的数据，浙江大学8个学科进入世界学术机构排名前1‰，居全国高校第一；1个学科进入世界学术机构排名前1‱，5个学科进入世界学术机构排名前50位，有7个学科进入世界学术机构排名前100位，均居全国高校第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rsids>
    <w:rsidRoot w:val="00DF5F4D"/>
    <w:rsid w:val="006429BC"/>
    <w:rsid w:val="00950542"/>
    <w:rsid w:val="00996640"/>
    <w:rsid w:val="00AA507A"/>
    <w:rsid w:val="00DF5F4D"/>
    <w:rsid w:val="040B000E"/>
    <w:rsid w:val="324E239A"/>
    <w:rsid w:val="38ED66BC"/>
    <w:rsid w:val="61983AF3"/>
    <w:rsid w:val="68FF0055"/>
    <w:rsid w:val="72180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color w:val="000000"/>
      <w:kern w:val="28"/>
      <w:sz w:val="20"/>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w:basedOn w:val="1"/>
    <w:link w:val="7"/>
    <w:semiHidden/>
    <w:unhideWhenUsed/>
    <w:qFormat/>
    <w:uiPriority w:val="99"/>
    <w:pPr>
      <w:spacing w:after="120"/>
      <w:ind w:left="420" w:leftChars="200"/>
    </w:p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4">
    <w:name w:val="Body Text First Indent 2"/>
    <w:basedOn w:val="2"/>
    <w:link w:val="8"/>
    <w:qFormat/>
    <w:uiPriority w:val="99"/>
    <w:pPr>
      <w:ind w:firstLine="420" w:firstLineChars="200"/>
    </w:pPr>
    <w:rPr>
      <w:rFonts w:ascii="宋体"/>
      <w:kern w:val="2"/>
      <w:sz w:val="28"/>
    </w:rPr>
  </w:style>
  <w:style w:type="character" w:customStyle="1" w:styleId="7">
    <w:name w:val="正文文本缩进 Char"/>
    <w:basedOn w:val="6"/>
    <w:link w:val="2"/>
    <w:semiHidden/>
    <w:qFormat/>
    <w:uiPriority w:val="99"/>
    <w:rPr>
      <w:rFonts w:ascii="Times New Roman" w:hAnsi="Times New Roman" w:eastAsia="宋体" w:cs="Times New Roman"/>
      <w:color w:val="000000"/>
      <w:kern w:val="28"/>
      <w:sz w:val="20"/>
      <w:szCs w:val="20"/>
    </w:rPr>
  </w:style>
  <w:style w:type="character" w:customStyle="1" w:styleId="8">
    <w:name w:val="正文首行缩进 2 Char"/>
    <w:basedOn w:val="7"/>
    <w:link w:val="4"/>
    <w:qFormat/>
    <w:uiPriority w:val="99"/>
    <w:rPr>
      <w:rFonts w:ascii="宋体"/>
      <w:sz w:val="28"/>
    </w:rPr>
  </w:style>
  <w:style w:type="paragraph" w:customStyle="1" w:styleId="9">
    <w:name w:val="p0"/>
    <w:basedOn w:val="1"/>
    <w:qFormat/>
    <w:uiPriority w:val="0"/>
    <w:pPr>
      <w:keepNext w:val="0"/>
      <w:keepLines w:val="0"/>
      <w:widowControl/>
      <w:suppressLineNumbers w:val="0"/>
      <w:spacing w:before="0" w:beforeAutospacing="0" w:after="0" w:afterAutospacing="0"/>
      <w:ind w:left="0" w:right="0"/>
      <w:jc w:val="left"/>
    </w:pPr>
    <w:rPr>
      <w:rFonts w:hint="default" w:ascii="Times New Roman" w:hAnsi="Times New Roman" w:eastAsia="宋体" w:cs="Times New Roman"/>
      <w:color w:val="000000"/>
      <w:kern w:val="28"/>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1724</Words>
  <Characters>1789</Characters>
  <Lines>10</Lines>
  <Paragraphs>2</Paragraphs>
  <TotalTime>0</TotalTime>
  <ScaleCrop>false</ScaleCrop>
  <LinksUpToDate>false</LinksUpToDate>
  <CharactersWithSpaces>1817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2025-02-24T01:15:00Z</dcterms:created>
  <dc:creator>LIULEI</dc:creator>
  <cp:lastModifiedBy>妞妈</cp:lastModifiedBy>
  <dcterms:modified xsi:type="dcterms:W3CDTF">2025-02-24T07:55:05Z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eyJoZGlkIjoiMzhjN2FjMThmMGM4ODllOTFiYzhmMGNkYTMxM2Q4ODciLCJ1c2VySWQiOiIzMDc1NjQ5NjkifQ==</vt:lpwstr>
  </property>
  <property fmtid="{D5CDD505-2E9C-101B-9397-08002B2CF9AE}" pid="3" name="KSOProductBuildVer">
    <vt:lpwstr>2052-12.1.0.19770</vt:lpwstr>
  </property>
  <property fmtid="{D5CDD505-2E9C-101B-9397-08002B2CF9AE}" pid="4" name="ICV">
    <vt:lpwstr>04DB5FC2C78B427080F479A453BA5ECB_12</vt:lpwstr>
  </property>
</Properties>
</file>